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7D2D1">
      <w:pPr>
        <w:adjustRightInd w:val="0"/>
        <w:snapToGrid w:val="0"/>
        <w:spacing w:line="300" w:lineRule="auto"/>
        <w:jc w:val="left"/>
        <w:rPr>
          <w:rFonts w:cs="仿宋" w:asciiTheme="minorEastAsia" w:hAnsiTheme="minorEastAsia" w:eastAsiaTheme="minorEastAsia"/>
          <w:b/>
          <w:bCs/>
          <w:snapToGrid w:val="0"/>
          <w:kern w:val="0"/>
          <w:sz w:val="28"/>
          <w:szCs w:val="28"/>
        </w:rPr>
      </w:pPr>
      <w:r>
        <w:rPr>
          <w:rFonts w:cs="仿宋" w:asciiTheme="minorEastAsia" w:hAnsiTheme="minorEastAsia" w:eastAsiaTheme="minorEastAsia"/>
          <w:b/>
          <w:bCs/>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27DA627">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367351CE">
                            <w:pPr>
                              <w:spacing w:line="400" w:lineRule="exact"/>
                              <w:rPr>
                                <w:rFonts w:ascii="仿宋_GB2312" w:eastAsia="仿宋_GB2312"/>
                                <w:sz w:val="22"/>
                              </w:rPr>
                            </w:pPr>
                            <w:r>
                              <w:rPr>
                                <w:rFonts w:hint="eastAsia" w:ascii="仿宋_GB2312" w:eastAsia="仿宋_GB2312"/>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fill on="t" focussize="0,0"/>
                <v:stroke color="#FFFFFF" joinstyle="miter"/>
                <v:imagedata o:title=""/>
                <o:lock v:ext="edit" aspectratio="f"/>
                <v:textbox>
                  <w:txbxContent>
                    <w:p w14:paraId="427DA627">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367351CE">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mc:Fallback>
        </mc:AlternateContent>
      </w:r>
      <w:r>
        <w:rPr>
          <w:rFonts w:hint="eastAsia" w:cs="仿宋" w:asciiTheme="minorEastAsia" w:hAnsiTheme="minorEastAsia" w:eastAsiaTheme="minorEastAsia"/>
          <w:b/>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7AF006AF">
      <w:pPr>
        <w:rPr>
          <w:rFonts w:cs="仿宋" w:asciiTheme="minorEastAsia" w:hAnsiTheme="minorEastAsia" w:eastAsiaTheme="minorEastAsia"/>
        </w:rPr>
      </w:pPr>
    </w:p>
    <w:p w14:paraId="53EA8C0B">
      <w:pPr>
        <w:rPr>
          <w:rFonts w:cs="仿宋" w:asciiTheme="minorEastAsia" w:hAnsiTheme="minorEastAsia" w:eastAsiaTheme="minorEastAsia"/>
        </w:rPr>
      </w:pPr>
    </w:p>
    <w:p w14:paraId="60A74E6B">
      <w:pPr>
        <w:rPr>
          <w:rFonts w:cs="仿宋" w:asciiTheme="minorEastAsia" w:hAnsiTheme="minorEastAsia" w:eastAsiaTheme="minorEastAsia"/>
        </w:rPr>
      </w:pPr>
    </w:p>
    <w:p w14:paraId="0AB47649">
      <w:pPr>
        <w:rPr>
          <w:rFonts w:cs="仿宋" w:asciiTheme="minorEastAsia" w:hAnsiTheme="minorEastAsia" w:eastAsiaTheme="minorEastAsia"/>
        </w:rPr>
      </w:pPr>
    </w:p>
    <w:p w14:paraId="7615F66E">
      <w:pPr>
        <w:rPr>
          <w:rFonts w:cs="仿宋" w:asciiTheme="minorEastAsia" w:hAnsiTheme="minorEastAsia" w:eastAsiaTheme="minorEastAsia"/>
        </w:rPr>
      </w:pPr>
    </w:p>
    <w:p w14:paraId="219A9628">
      <w:pPr>
        <w:rPr>
          <w:rFonts w:cs="仿宋" w:asciiTheme="minorEastAsia" w:hAnsiTheme="minorEastAsia" w:eastAsiaTheme="minorEastAsia"/>
        </w:rPr>
      </w:pPr>
    </w:p>
    <w:p w14:paraId="3F9A4CC5">
      <w:pPr>
        <w:rPr>
          <w:rFonts w:cs="仿宋" w:asciiTheme="minorEastAsia" w:hAnsiTheme="minorEastAsia" w:eastAsiaTheme="minorEastAsia"/>
        </w:rPr>
      </w:pPr>
    </w:p>
    <w:p w14:paraId="1E1350C6">
      <w:pPr>
        <w:jc w:val="center"/>
        <w:rPr>
          <w:rFonts w:cs="仿宋" w:asciiTheme="minorEastAsia" w:hAnsiTheme="minorEastAsia" w:eastAsiaTheme="minorEastAsia"/>
        </w:rPr>
      </w:pPr>
    </w:p>
    <w:p w14:paraId="4AC37A1F">
      <w:pPr>
        <w:jc w:val="center"/>
        <w:rPr>
          <w:rFonts w:cs="仿宋" w:asciiTheme="minorEastAsia" w:hAnsiTheme="minorEastAsia" w:eastAsiaTheme="minorEastAsia"/>
        </w:rPr>
      </w:pPr>
      <w:r>
        <w:rPr>
          <w:rFonts w:hint="eastAsia" w:cs="仿宋" w:asciiTheme="minorEastAsia" w:hAnsiTheme="minorEastAsia" w:eastAsiaTheme="minorEastAsia"/>
          <w:b/>
          <w:bCs/>
          <w:snapToGrid w:val="0"/>
          <w:kern w:val="0"/>
          <w:sz w:val="72"/>
          <w:szCs w:val="70"/>
        </w:rPr>
        <w:t>警训支队布草洗涤服务采购项目</w:t>
      </w:r>
    </w:p>
    <w:p w14:paraId="2D7A2D31">
      <w:pPr>
        <w:rPr>
          <w:rFonts w:cs="仿宋" w:asciiTheme="minorEastAsia" w:hAnsiTheme="minorEastAsia" w:eastAsiaTheme="minorEastAsia"/>
        </w:rPr>
      </w:pPr>
    </w:p>
    <w:p w14:paraId="7DC89CAF">
      <w:pPr>
        <w:rPr>
          <w:rFonts w:cs="仿宋" w:asciiTheme="minorEastAsia" w:hAnsiTheme="minorEastAsia" w:eastAsiaTheme="minorEastAsia"/>
        </w:rPr>
      </w:pPr>
    </w:p>
    <w:p w14:paraId="16863A37">
      <w:pPr>
        <w:rPr>
          <w:rFonts w:cs="仿宋" w:asciiTheme="minorEastAsia" w:hAnsiTheme="minorEastAsia" w:eastAsiaTheme="minorEastAsia"/>
        </w:rPr>
      </w:pPr>
    </w:p>
    <w:p w14:paraId="7FFBCEE2">
      <w:pPr>
        <w:rPr>
          <w:rFonts w:cs="仿宋" w:asciiTheme="minorEastAsia" w:hAnsiTheme="minorEastAsia" w:eastAsiaTheme="minorEastAsia"/>
        </w:rPr>
      </w:pPr>
    </w:p>
    <w:p w14:paraId="7195A0CD">
      <w:pPr>
        <w:rPr>
          <w:rFonts w:cs="仿宋" w:asciiTheme="minorEastAsia" w:hAnsiTheme="minorEastAsia" w:eastAsiaTheme="minorEastAsia"/>
        </w:rPr>
      </w:pPr>
    </w:p>
    <w:p w14:paraId="5DC6294A">
      <w:pPr>
        <w:rPr>
          <w:rFonts w:cs="仿宋" w:asciiTheme="minorEastAsia" w:hAnsiTheme="minorEastAsia" w:eastAsiaTheme="minorEastAsia"/>
        </w:rPr>
      </w:pPr>
    </w:p>
    <w:p w14:paraId="1DAA7FD3">
      <w:pPr>
        <w:adjustRightInd w:val="0"/>
        <w:snapToGrid w:val="0"/>
        <w:spacing w:line="300" w:lineRule="auto"/>
        <w:jc w:val="center"/>
        <w:rPr>
          <w:rFonts w:cs="仿宋" w:asciiTheme="minorEastAsia" w:hAnsiTheme="minorEastAsia" w:eastAsiaTheme="minorEastAsia"/>
          <w:b/>
          <w:snapToGrid w:val="0"/>
          <w:kern w:val="0"/>
          <w:sz w:val="90"/>
        </w:rPr>
      </w:pPr>
      <w:r>
        <w:rPr>
          <w:rFonts w:hint="eastAsia" w:cs="仿宋" w:asciiTheme="minorEastAsia" w:hAnsiTheme="minorEastAsia" w:eastAsiaTheme="minorEastAsia"/>
          <w:b/>
          <w:snapToGrid w:val="0"/>
          <w:kern w:val="0"/>
          <w:sz w:val="90"/>
        </w:rPr>
        <w:t>征  集　文　件</w:t>
      </w:r>
    </w:p>
    <w:p w14:paraId="7A5539BD">
      <w:pPr>
        <w:adjustRightInd w:val="0"/>
        <w:snapToGrid w:val="0"/>
        <w:spacing w:line="300" w:lineRule="auto"/>
        <w:jc w:val="center"/>
        <w:rPr>
          <w:rFonts w:cs="仿宋" w:asciiTheme="minorEastAsia" w:hAnsiTheme="minorEastAsia" w:eastAsiaTheme="minorEastAsia"/>
          <w:b/>
          <w:snapToGrid w:val="0"/>
          <w:kern w:val="0"/>
          <w:sz w:val="32"/>
        </w:rPr>
      </w:pPr>
    </w:p>
    <w:p w14:paraId="27B22656">
      <w:pPr>
        <w:adjustRightInd w:val="0"/>
        <w:snapToGrid w:val="0"/>
        <w:spacing w:line="300" w:lineRule="auto"/>
        <w:jc w:val="center"/>
        <w:rPr>
          <w:rFonts w:cs="仿宋" w:asciiTheme="minorEastAsia" w:hAnsiTheme="minorEastAsia" w:eastAsiaTheme="minorEastAsia"/>
          <w:b/>
          <w:snapToGrid w:val="0"/>
          <w:kern w:val="0"/>
          <w:sz w:val="44"/>
        </w:rPr>
      </w:pPr>
      <w:r>
        <w:rPr>
          <w:rFonts w:hint="eastAsia" w:cs="仿宋" w:asciiTheme="minorEastAsia" w:hAnsiTheme="minorEastAsia" w:eastAsiaTheme="minorEastAsia"/>
          <w:b/>
          <w:snapToGrid w:val="0"/>
          <w:kern w:val="0"/>
          <w:sz w:val="32"/>
        </w:rPr>
        <w:t>项目编号：SZZZ2024-QC0379</w:t>
      </w:r>
    </w:p>
    <w:p w14:paraId="7B4DF0C8">
      <w:pPr>
        <w:rPr>
          <w:rFonts w:cs="仿宋" w:asciiTheme="minorEastAsia" w:hAnsiTheme="minorEastAsia" w:eastAsiaTheme="minorEastAsia"/>
        </w:rPr>
      </w:pPr>
    </w:p>
    <w:p w14:paraId="4E0AE57E">
      <w:pPr>
        <w:rPr>
          <w:rFonts w:cs="仿宋" w:asciiTheme="minorEastAsia" w:hAnsiTheme="minorEastAsia" w:eastAsiaTheme="minorEastAsia"/>
        </w:rPr>
      </w:pPr>
    </w:p>
    <w:p w14:paraId="1B1D487E">
      <w:pPr>
        <w:rPr>
          <w:rFonts w:cs="仿宋" w:asciiTheme="minorEastAsia" w:hAnsiTheme="minorEastAsia" w:eastAsiaTheme="minorEastAsia"/>
        </w:rPr>
      </w:pPr>
    </w:p>
    <w:p w14:paraId="539B13D2">
      <w:pPr>
        <w:rPr>
          <w:rFonts w:cs="仿宋" w:asciiTheme="minorEastAsia" w:hAnsiTheme="minorEastAsia" w:eastAsiaTheme="minorEastAsia"/>
        </w:rPr>
      </w:pPr>
    </w:p>
    <w:p w14:paraId="4955830D">
      <w:pPr>
        <w:rPr>
          <w:rFonts w:cs="仿宋" w:asciiTheme="minorEastAsia" w:hAnsiTheme="minorEastAsia" w:eastAsiaTheme="minorEastAsia"/>
        </w:rPr>
      </w:pPr>
    </w:p>
    <w:p w14:paraId="30F67394">
      <w:pPr>
        <w:pStyle w:val="19"/>
        <w:ind w:firstLine="210"/>
      </w:pPr>
    </w:p>
    <w:p w14:paraId="55A8A36C">
      <w:pPr>
        <w:pStyle w:val="19"/>
        <w:ind w:firstLine="210"/>
      </w:pPr>
    </w:p>
    <w:p w14:paraId="5A20E091">
      <w:pPr>
        <w:rPr>
          <w:rFonts w:cs="仿宋" w:asciiTheme="minorEastAsia" w:hAnsiTheme="minorEastAsia" w:eastAsiaTheme="minorEastAsia"/>
        </w:rPr>
      </w:pPr>
    </w:p>
    <w:p w14:paraId="187F69F0">
      <w:pPr>
        <w:rPr>
          <w:rFonts w:cs="仿宋" w:asciiTheme="minorEastAsia" w:hAnsiTheme="minorEastAsia" w:eastAsiaTheme="minorEastAsia"/>
        </w:rPr>
      </w:pPr>
    </w:p>
    <w:p w14:paraId="36374A2E">
      <w:pPr>
        <w:pStyle w:val="14"/>
        <w:adjustRightInd w:val="0"/>
        <w:snapToGrid w:val="0"/>
        <w:spacing w:line="300" w:lineRule="auto"/>
        <w:jc w:val="center"/>
        <w:rPr>
          <w:rFonts w:cs="仿宋" w:asciiTheme="minorEastAsia" w:hAnsiTheme="minorEastAsia" w:eastAsiaTheme="minorEastAsia"/>
          <w:b/>
          <w:snapToGrid w:val="0"/>
          <w:sz w:val="30"/>
        </w:rPr>
      </w:pPr>
      <w:r>
        <w:rPr>
          <w:rFonts w:hint="eastAsia" w:cs="仿宋" w:asciiTheme="minorEastAsia" w:hAnsiTheme="minorEastAsia" w:eastAsiaTheme="minorEastAsia"/>
          <w:b/>
          <w:snapToGrid w:val="0"/>
          <w:sz w:val="30"/>
        </w:rPr>
        <w:t>二〇二</w:t>
      </w:r>
      <w:r>
        <w:rPr>
          <w:rFonts w:hint="eastAsia"/>
          <w:b/>
          <w:snapToGrid w:val="0"/>
          <w:sz w:val="30"/>
        </w:rPr>
        <w:t>四</w:t>
      </w:r>
      <w:r>
        <w:rPr>
          <w:rFonts w:hint="eastAsia" w:cs="仿宋" w:asciiTheme="minorEastAsia" w:hAnsiTheme="minorEastAsia" w:eastAsiaTheme="minorEastAsia"/>
          <w:b/>
          <w:snapToGrid w:val="0"/>
          <w:sz w:val="30"/>
        </w:rPr>
        <w:t>年</w:t>
      </w:r>
      <w:r>
        <w:rPr>
          <w:rFonts w:hint="eastAsia" w:cs="仿宋" w:asciiTheme="minorEastAsia" w:hAnsiTheme="minorEastAsia" w:eastAsiaTheme="minorEastAsia"/>
          <w:b/>
          <w:snapToGrid w:val="0"/>
          <w:sz w:val="30"/>
          <w:lang w:val="en-US" w:eastAsia="zh-CN"/>
        </w:rPr>
        <w:t>九</w:t>
      </w:r>
      <w:r>
        <w:rPr>
          <w:rFonts w:hint="eastAsia" w:cs="仿宋" w:asciiTheme="minorEastAsia" w:hAnsiTheme="minorEastAsia" w:eastAsiaTheme="minorEastAsia"/>
          <w:b/>
          <w:snapToGrid w:val="0"/>
          <w:sz w:val="30"/>
        </w:rPr>
        <w:t>月</w:t>
      </w:r>
    </w:p>
    <w:p w14:paraId="2F77892C">
      <w:pPr>
        <w:widowControl/>
        <w:jc w:val="center"/>
        <w:rPr>
          <w:rFonts w:cs="仿宋" w:asciiTheme="minorEastAsia" w:hAnsiTheme="minorEastAsia" w:eastAsiaTheme="minorEastAsia"/>
          <w:snapToGrid w:val="0"/>
        </w:rPr>
      </w:pPr>
      <w:r>
        <w:rPr>
          <w:rFonts w:hint="eastAsia" w:cs="仿宋" w:asciiTheme="minorEastAsia" w:hAnsiTheme="minorEastAsia" w:eastAsiaTheme="minorEastAsia"/>
          <w:snapToGrid w:val="0"/>
        </w:rPr>
        <w:br w:type="page"/>
      </w:r>
    </w:p>
    <w:p w14:paraId="6B8669B9">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4803DBCF">
      <w:pPr>
        <w:spacing w:line="360" w:lineRule="auto"/>
        <w:ind w:firstLine="480" w:firstLineChars="200"/>
        <w:rPr>
          <w:rFonts w:ascii="宋体" w:hAnsi="宋体"/>
          <w:sz w:val="24"/>
          <w:szCs w:val="24"/>
        </w:rPr>
      </w:pPr>
    </w:p>
    <w:p w14:paraId="31D2902A">
      <w:pPr>
        <w:spacing w:line="440" w:lineRule="exact"/>
        <w:ind w:firstLine="480" w:firstLineChars="200"/>
        <w:rPr>
          <w:rFonts w:ascii="仿宋" w:hAnsi="仿宋" w:eastAsia="仿宋"/>
          <w:sz w:val="24"/>
          <w:szCs w:val="24"/>
        </w:rPr>
      </w:pPr>
      <w:r>
        <w:rPr>
          <w:rFonts w:hint="eastAsia" w:ascii="仿宋" w:hAnsi="仿宋" w:eastAsia="仿宋"/>
          <w:sz w:val="24"/>
          <w:szCs w:val="24"/>
        </w:rPr>
        <w:t>一、《深圳经济特区政府采购条例》</w:t>
      </w:r>
    </w:p>
    <w:p w14:paraId="05C7FA93">
      <w:pPr>
        <w:spacing w:line="440" w:lineRule="exact"/>
        <w:ind w:firstLine="480" w:firstLineChars="200"/>
        <w:rPr>
          <w:rFonts w:ascii="仿宋" w:hAnsi="仿宋" w:eastAsia="仿宋"/>
          <w:sz w:val="24"/>
          <w:szCs w:val="24"/>
        </w:rPr>
      </w:pPr>
      <w:r>
        <w:rPr>
          <w:rFonts w:hint="eastAsia" w:ascii="仿宋" w:hAnsi="仿宋" w:eastAsia="仿宋"/>
          <w:sz w:val="24"/>
          <w:szCs w:val="24"/>
        </w:rPr>
        <w:t>第五十七条</w:t>
      </w:r>
      <w:r>
        <w:rPr>
          <w:rFonts w:ascii="仿宋" w:hAnsi="仿宋" w:eastAsia="仿宋"/>
          <w:sz w:val="24"/>
          <w:szCs w:val="24"/>
        </w:rPr>
        <w:t xml:space="preserve"> </w:t>
      </w:r>
      <w:r>
        <w:rPr>
          <w:rFonts w:hint="eastAsia" w:ascii="仿宋" w:hAnsi="仿宋" w:eastAsia="仿宋"/>
          <w:sz w:val="24"/>
          <w:szCs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685B356">
      <w:pPr>
        <w:spacing w:line="440" w:lineRule="exact"/>
        <w:ind w:firstLine="480" w:firstLineChars="200"/>
        <w:rPr>
          <w:rFonts w:ascii="仿宋" w:hAnsi="仿宋" w:eastAsia="仿宋"/>
          <w:sz w:val="24"/>
          <w:szCs w:val="24"/>
        </w:rPr>
      </w:pPr>
      <w:r>
        <w:rPr>
          <w:rFonts w:hint="eastAsia" w:ascii="仿宋" w:hAnsi="仿宋" w:eastAsia="仿宋"/>
          <w:sz w:val="24"/>
          <w:szCs w:val="24"/>
        </w:rPr>
        <w:t>（一）在采购活动中应当回避而未回避的；</w:t>
      </w:r>
    </w:p>
    <w:p w14:paraId="3B65E28C">
      <w:pPr>
        <w:spacing w:line="440" w:lineRule="exact"/>
        <w:ind w:firstLine="480" w:firstLineChars="200"/>
        <w:rPr>
          <w:rFonts w:ascii="仿宋" w:hAnsi="仿宋" w:eastAsia="仿宋"/>
          <w:sz w:val="24"/>
          <w:szCs w:val="24"/>
        </w:rPr>
      </w:pPr>
      <w:r>
        <w:rPr>
          <w:rFonts w:hint="eastAsia" w:ascii="仿宋" w:hAnsi="仿宋" w:eastAsia="仿宋"/>
          <w:sz w:val="24"/>
          <w:szCs w:val="24"/>
        </w:rPr>
        <w:t>（二）未按本条例规定签订、履行采购合同，造成严重后果的；</w:t>
      </w:r>
    </w:p>
    <w:p w14:paraId="6D4D242F">
      <w:pPr>
        <w:spacing w:line="440" w:lineRule="exact"/>
        <w:ind w:firstLine="480" w:firstLineChars="200"/>
        <w:rPr>
          <w:rFonts w:ascii="仿宋" w:hAnsi="仿宋" w:eastAsia="仿宋"/>
          <w:sz w:val="24"/>
          <w:szCs w:val="24"/>
        </w:rPr>
      </w:pPr>
      <w:r>
        <w:rPr>
          <w:rFonts w:hint="eastAsia" w:ascii="仿宋" w:hAnsi="仿宋" w:eastAsia="仿宋"/>
          <w:sz w:val="24"/>
          <w:szCs w:val="24"/>
        </w:rPr>
        <w:t>（三）隐瞒真实情况，提供虚假资料的；</w:t>
      </w:r>
    </w:p>
    <w:p w14:paraId="7B2C7C38">
      <w:pPr>
        <w:spacing w:line="440" w:lineRule="exact"/>
        <w:ind w:firstLine="480" w:firstLineChars="200"/>
        <w:rPr>
          <w:rFonts w:ascii="仿宋" w:hAnsi="仿宋" w:eastAsia="仿宋"/>
          <w:sz w:val="24"/>
          <w:szCs w:val="24"/>
        </w:rPr>
      </w:pPr>
      <w:r>
        <w:rPr>
          <w:rFonts w:hint="eastAsia" w:ascii="仿宋" w:hAnsi="仿宋" w:eastAsia="仿宋"/>
          <w:sz w:val="24"/>
          <w:szCs w:val="24"/>
        </w:rPr>
        <w:t>（四）以非法手段排斥其他供应商参与竞争的；</w:t>
      </w:r>
    </w:p>
    <w:p w14:paraId="10B047D1">
      <w:pPr>
        <w:spacing w:line="440" w:lineRule="exact"/>
        <w:ind w:firstLine="480" w:firstLineChars="200"/>
        <w:rPr>
          <w:rFonts w:ascii="仿宋" w:hAnsi="仿宋" w:eastAsia="仿宋"/>
          <w:sz w:val="24"/>
          <w:szCs w:val="24"/>
        </w:rPr>
      </w:pPr>
      <w:r>
        <w:rPr>
          <w:rFonts w:hint="eastAsia" w:ascii="仿宋" w:hAnsi="仿宋" w:eastAsia="仿宋"/>
          <w:sz w:val="24"/>
          <w:szCs w:val="24"/>
        </w:rPr>
        <w:t>（五）与其他采购参加人串通投标的；</w:t>
      </w:r>
    </w:p>
    <w:p w14:paraId="38BC7BA8">
      <w:pPr>
        <w:spacing w:line="440" w:lineRule="exact"/>
        <w:ind w:firstLine="480" w:firstLineChars="200"/>
        <w:rPr>
          <w:rFonts w:ascii="仿宋" w:hAnsi="仿宋" w:eastAsia="仿宋"/>
          <w:sz w:val="24"/>
          <w:szCs w:val="24"/>
        </w:rPr>
      </w:pPr>
      <w:r>
        <w:rPr>
          <w:rFonts w:hint="eastAsia" w:ascii="仿宋" w:hAnsi="仿宋" w:eastAsia="仿宋"/>
          <w:sz w:val="24"/>
          <w:szCs w:val="24"/>
        </w:rPr>
        <w:t>（六）恶意投诉的；</w:t>
      </w:r>
    </w:p>
    <w:p w14:paraId="58F0A025">
      <w:pPr>
        <w:spacing w:line="440" w:lineRule="exact"/>
        <w:ind w:firstLine="480" w:firstLineChars="200"/>
        <w:rPr>
          <w:rFonts w:ascii="仿宋" w:hAnsi="仿宋" w:eastAsia="仿宋"/>
          <w:sz w:val="24"/>
          <w:szCs w:val="24"/>
        </w:rPr>
      </w:pPr>
      <w:r>
        <w:rPr>
          <w:rFonts w:hint="eastAsia" w:ascii="仿宋" w:hAnsi="仿宋" w:eastAsia="仿宋"/>
          <w:sz w:val="24"/>
          <w:szCs w:val="24"/>
        </w:rPr>
        <w:t>（七）向采购项目相关人行贿或者提供其他不当利益的；</w:t>
      </w:r>
    </w:p>
    <w:p w14:paraId="789FE331">
      <w:pPr>
        <w:spacing w:line="440" w:lineRule="exact"/>
        <w:ind w:firstLine="480" w:firstLineChars="200"/>
        <w:rPr>
          <w:rFonts w:ascii="仿宋" w:hAnsi="仿宋" w:eastAsia="仿宋"/>
          <w:sz w:val="24"/>
          <w:szCs w:val="24"/>
        </w:rPr>
      </w:pPr>
      <w:r>
        <w:rPr>
          <w:rFonts w:hint="eastAsia" w:ascii="仿宋" w:hAnsi="仿宋" w:eastAsia="仿宋"/>
          <w:sz w:val="24"/>
          <w:szCs w:val="24"/>
        </w:rPr>
        <w:t>（八）阻碍、抗拒主管部门监督检查的；</w:t>
      </w:r>
    </w:p>
    <w:p w14:paraId="735AC0AE">
      <w:pPr>
        <w:spacing w:line="440" w:lineRule="exact"/>
        <w:ind w:firstLine="480" w:firstLineChars="200"/>
        <w:rPr>
          <w:rFonts w:ascii="仿宋" w:hAnsi="仿宋" w:eastAsia="仿宋"/>
          <w:sz w:val="24"/>
          <w:szCs w:val="24"/>
        </w:rPr>
      </w:pPr>
      <w:r>
        <w:rPr>
          <w:rFonts w:hint="eastAsia" w:ascii="仿宋" w:hAnsi="仿宋" w:eastAsia="仿宋"/>
          <w:sz w:val="24"/>
          <w:szCs w:val="24"/>
        </w:rPr>
        <w:t>（九）其他违反本条例规定的行为。</w:t>
      </w:r>
    </w:p>
    <w:p w14:paraId="307CB0B6">
      <w:pPr>
        <w:spacing w:line="440" w:lineRule="exact"/>
        <w:ind w:firstLine="480" w:firstLineChars="200"/>
        <w:rPr>
          <w:rFonts w:ascii="仿宋" w:hAnsi="仿宋" w:eastAsia="仿宋"/>
          <w:sz w:val="24"/>
          <w:szCs w:val="24"/>
        </w:rPr>
      </w:pPr>
    </w:p>
    <w:p w14:paraId="65AA2D35">
      <w:pPr>
        <w:spacing w:line="440" w:lineRule="exact"/>
        <w:ind w:firstLine="480" w:firstLineChars="200"/>
        <w:rPr>
          <w:rFonts w:ascii="仿宋" w:hAnsi="仿宋" w:eastAsia="仿宋"/>
          <w:sz w:val="24"/>
          <w:szCs w:val="24"/>
        </w:rPr>
      </w:pPr>
      <w:r>
        <w:rPr>
          <w:rFonts w:hint="eastAsia" w:ascii="仿宋" w:hAnsi="仿宋" w:eastAsia="仿宋"/>
          <w:sz w:val="24"/>
          <w:szCs w:val="24"/>
        </w:rPr>
        <w:t>二、《深圳经济特区政府采购条例实施细则》</w:t>
      </w:r>
    </w:p>
    <w:p w14:paraId="689D9257">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第七十五条 供应商有下列情形的，属于采购条例所称的串通投标行为，按照采购条例第五十七条有关规定处理：</w:t>
      </w:r>
    </w:p>
    <w:p w14:paraId="4167EE01">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（一）投标供应商之间相互约定给予未中标的供应商利益补偿；</w:t>
      </w:r>
    </w:p>
    <w:p w14:paraId="0187A8E7">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 xml:space="preserve">（二）不同投标供应商的法定代表人、主要经营负责人、项目投标授权代表人、项目负责人、主要技术人员为同一人、属同一单位或者在同一单位缴纳社会保险；          </w:t>
      </w:r>
    </w:p>
    <w:p w14:paraId="5793F918">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（三）不同投标供应商的投标文件由同一单位或者同一人编制，或者由同一人分阶段参与编制的；</w:t>
      </w:r>
    </w:p>
    <w:p w14:paraId="0AF6E79A">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（四）不同投标供应商的投标文件或部分投标文件相互混装；</w:t>
      </w:r>
    </w:p>
    <w:p w14:paraId="2ECEA8AB">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（五）不同投标供应商的投标文件内容存在非正常一致；</w:t>
      </w:r>
    </w:p>
    <w:p w14:paraId="255863B1">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（六）由同一单位工作人员为两家以上（含两家）供应商进行同一项投标活动的；</w:t>
      </w:r>
    </w:p>
    <w:p w14:paraId="20BCC5AD">
      <w:pPr>
        <w:spacing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（七）主管部门依照法律、法规认定的其他情形。</w:t>
      </w:r>
    </w:p>
    <w:p w14:paraId="47BA7DB2">
      <w:pPr>
        <w:spacing w:line="440" w:lineRule="exact"/>
        <w:ind w:firstLine="480" w:firstLineChars="200"/>
        <w:rPr>
          <w:rFonts w:ascii="仿宋" w:hAnsi="仿宋" w:eastAsia="仿宋"/>
          <w:sz w:val="24"/>
          <w:szCs w:val="24"/>
        </w:rPr>
      </w:pPr>
      <w:r>
        <w:rPr>
          <w:rFonts w:hint="eastAsia" w:ascii="仿宋" w:hAnsi="仿宋" w:eastAsia="仿宋"/>
          <w:sz w:val="24"/>
          <w:szCs w:val="24"/>
        </w:rPr>
        <w:t>第七十七条 供应商有下列情形之一的，属于隐瞒真实情况，提供虚假资料，按照采购条例第五十七的有关规定处理：</w:t>
      </w:r>
    </w:p>
    <w:p w14:paraId="38C44E24">
      <w:pPr>
        <w:spacing w:line="440" w:lineRule="exact"/>
        <w:ind w:firstLine="480" w:firstLineChars="200"/>
        <w:rPr>
          <w:rFonts w:ascii="仿宋" w:hAnsi="仿宋" w:eastAsia="仿宋"/>
          <w:sz w:val="24"/>
          <w:szCs w:val="24"/>
        </w:rPr>
      </w:pPr>
      <w:r>
        <w:rPr>
          <w:rFonts w:hint="eastAsia" w:ascii="仿宋" w:hAnsi="仿宋" w:eastAsia="仿宋"/>
          <w:sz w:val="24"/>
          <w:szCs w:val="24"/>
        </w:rPr>
        <w:t>（一）通过转让或者租借等方式从其他单位获取资格或者资质证书投标的；</w:t>
      </w:r>
    </w:p>
    <w:p w14:paraId="38D33488">
      <w:pPr>
        <w:spacing w:line="440" w:lineRule="exact"/>
        <w:ind w:firstLine="480" w:firstLineChars="200"/>
        <w:rPr>
          <w:rFonts w:ascii="仿宋" w:hAnsi="仿宋" w:eastAsia="仿宋"/>
          <w:sz w:val="24"/>
          <w:szCs w:val="24"/>
        </w:rPr>
      </w:pPr>
      <w:r>
        <w:rPr>
          <w:rFonts w:hint="eastAsia" w:ascii="仿宋" w:hAnsi="仿宋" w:eastAsia="仿宋"/>
          <w:sz w:val="24"/>
          <w:szCs w:val="24"/>
        </w:rPr>
        <w:t>（二）由其他单位或者其他单位负责人在投标供应商编制的投标文件上加盖印章或者签字的；</w:t>
      </w:r>
    </w:p>
    <w:p w14:paraId="1891E489">
      <w:pPr>
        <w:spacing w:line="440" w:lineRule="exact"/>
        <w:ind w:firstLine="480" w:firstLineChars="200"/>
        <w:rPr>
          <w:rFonts w:ascii="仿宋" w:hAnsi="仿宋" w:eastAsia="仿宋"/>
          <w:sz w:val="24"/>
          <w:szCs w:val="24"/>
        </w:rPr>
      </w:pPr>
      <w:r>
        <w:rPr>
          <w:rFonts w:hint="eastAsia" w:ascii="仿宋" w:hAnsi="仿宋" w:eastAsia="仿宋"/>
          <w:sz w:val="24"/>
          <w:szCs w:val="24"/>
        </w:rPr>
        <w:t>（三）项目负责人或者主要技术人员不是本单位人员的；</w:t>
      </w:r>
    </w:p>
    <w:p w14:paraId="6CE1FA66">
      <w:pPr>
        <w:spacing w:line="440" w:lineRule="exact"/>
        <w:ind w:firstLine="480" w:firstLineChars="200"/>
        <w:rPr>
          <w:rFonts w:ascii="仿宋" w:hAnsi="仿宋" w:eastAsia="仿宋"/>
          <w:sz w:val="24"/>
          <w:szCs w:val="24"/>
        </w:rPr>
      </w:pPr>
      <w:r>
        <w:rPr>
          <w:rFonts w:hint="eastAsia" w:ascii="仿宋" w:hAnsi="仿宋" w:eastAsia="仿宋"/>
          <w:sz w:val="24"/>
          <w:szCs w:val="24"/>
        </w:rPr>
        <w:t>（四）投标保证金不是从投标供应商基本账户转出的；</w:t>
      </w:r>
    </w:p>
    <w:p w14:paraId="6F6D0D49">
      <w:pPr>
        <w:spacing w:line="440" w:lineRule="exact"/>
        <w:ind w:firstLine="480" w:firstLineChars="200"/>
        <w:rPr>
          <w:rFonts w:ascii="仿宋" w:hAnsi="仿宋" w:eastAsia="仿宋"/>
          <w:sz w:val="24"/>
          <w:szCs w:val="24"/>
        </w:rPr>
      </w:pPr>
      <w:r>
        <w:rPr>
          <w:rFonts w:hint="eastAsia" w:ascii="仿宋" w:hAnsi="仿宋" w:eastAsia="仿宋"/>
          <w:sz w:val="24"/>
          <w:szCs w:val="24"/>
        </w:rPr>
        <w:t>（五）其他隐瞒真实情况、提供虚假资料的行为。</w:t>
      </w:r>
    </w:p>
    <w:p w14:paraId="0FF74BF2">
      <w:pPr>
        <w:spacing w:line="440" w:lineRule="exact"/>
        <w:ind w:firstLine="424" w:firstLineChars="177"/>
        <w:rPr>
          <w:rFonts w:ascii="仿宋" w:hAnsi="仿宋" w:eastAsia="仿宋"/>
          <w:sz w:val="24"/>
          <w:szCs w:val="24"/>
        </w:rPr>
      </w:pPr>
      <w:r>
        <w:rPr>
          <w:rFonts w:hint="eastAsia" w:ascii="仿宋" w:hAnsi="仿宋" w:eastAsia="仿宋"/>
          <w:sz w:val="24"/>
          <w:szCs w:val="24"/>
        </w:rPr>
        <w:t>投标供应商不能提供项目负责人或者主要技术人员的劳动合同、社会保险等劳动关系证明材料的，视为存在前款第（三）项规定的情形。</w:t>
      </w:r>
    </w:p>
    <w:p w14:paraId="5FD9B778">
      <w:pPr>
        <w:spacing w:line="440" w:lineRule="exact"/>
        <w:ind w:firstLine="480" w:firstLineChars="200"/>
        <w:rPr>
          <w:rFonts w:ascii="仿宋" w:hAnsi="仿宋" w:eastAsia="仿宋"/>
          <w:sz w:val="24"/>
          <w:szCs w:val="24"/>
        </w:rPr>
      </w:pPr>
    </w:p>
    <w:p w14:paraId="7D5C7A31">
      <w:pPr>
        <w:spacing w:line="440" w:lineRule="exact"/>
        <w:ind w:firstLine="480" w:firstLineChars="200"/>
        <w:rPr>
          <w:rFonts w:ascii="仿宋" w:hAnsi="仿宋" w:eastAsia="仿宋"/>
          <w:sz w:val="24"/>
          <w:szCs w:val="24"/>
        </w:rPr>
      </w:pPr>
      <w:r>
        <w:rPr>
          <w:rFonts w:hint="eastAsia" w:ascii="仿宋" w:hAnsi="仿宋" w:eastAsia="仿宋"/>
          <w:sz w:val="24"/>
          <w:szCs w:val="24"/>
        </w:rPr>
        <w:t>三、《中华人民共和国政府采购法实施条例》</w:t>
      </w:r>
    </w:p>
    <w:p w14:paraId="62FE627F">
      <w:pPr>
        <w:spacing w:line="440" w:lineRule="exact"/>
        <w:ind w:firstLine="424" w:firstLineChars="177"/>
        <w:rPr>
          <w:rFonts w:ascii="仿宋" w:hAnsi="仿宋" w:eastAsia="仿宋"/>
          <w:sz w:val="24"/>
          <w:szCs w:val="24"/>
        </w:rPr>
      </w:pPr>
      <w:r>
        <w:rPr>
          <w:rFonts w:hint="eastAsia" w:ascii="仿宋" w:hAnsi="仿宋" w:eastAsia="仿宋"/>
          <w:sz w:val="24"/>
          <w:szCs w:val="24"/>
        </w:rPr>
        <w:t>第十八条 单位负责人为同一人或者存在直接控股、管理关系的不同供应商，不得参加同一合同项下的政府采购活动。</w:t>
      </w:r>
    </w:p>
    <w:p w14:paraId="677A1A6E">
      <w:pPr>
        <w:spacing w:line="440" w:lineRule="exact"/>
        <w:ind w:firstLine="424" w:firstLineChars="177"/>
        <w:rPr>
          <w:rFonts w:ascii="仿宋" w:hAnsi="仿宋" w:eastAsia="仿宋"/>
          <w:sz w:val="24"/>
          <w:szCs w:val="24"/>
        </w:rPr>
      </w:pPr>
      <w:r>
        <w:rPr>
          <w:rFonts w:hint="eastAsia" w:ascii="仿宋" w:hAnsi="仿宋" w:eastAsia="仿宋"/>
          <w:sz w:val="24"/>
          <w:szCs w:val="24"/>
        </w:rPr>
        <w:t>除单一来源采购项目外，为采购项目提供整体设计、规范编制或者项目管理、监理、检测等服务的供应商，不得再参加该采购项目的其他采购活动。</w:t>
      </w:r>
    </w:p>
    <w:p w14:paraId="5F9D914A">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本项目设计供应商：无</w:t>
      </w:r>
    </w:p>
    <w:p w14:paraId="0BE1ADAA">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本项目造价咨询供应商：无</w:t>
      </w:r>
    </w:p>
    <w:p w14:paraId="1BA5058D">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本项目监理供应商：无</w:t>
      </w:r>
    </w:p>
    <w:p w14:paraId="7B8C4990">
      <w:pPr>
        <w:spacing w:line="440" w:lineRule="exact"/>
        <w:ind w:firstLine="424" w:firstLineChars="177"/>
        <w:rPr>
          <w:rFonts w:ascii="仿宋_GB2312" w:eastAsia="仿宋_GB2312" w:hAnsiTheme="minorEastAsia"/>
          <w:b/>
          <w:color w:val="FF0000"/>
          <w:sz w:val="24"/>
          <w:szCs w:val="24"/>
          <w:vertAlign w:val="baseline"/>
        </w:rPr>
      </w:pPr>
      <w:r>
        <w:rPr>
          <w:rFonts w:hint="eastAsia" w:ascii="仿宋" w:hAnsi="仿宋" w:eastAsia="仿宋"/>
          <w:sz w:val="24"/>
          <w:szCs w:val="24"/>
        </w:rPr>
        <w:t>本项目检测供应商：无</w:t>
      </w:r>
    </w:p>
    <w:p w14:paraId="30FFEDC0">
      <w:pPr>
        <w:spacing w:line="440" w:lineRule="exact"/>
        <w:ind w:firstLine="426" w:firstLineChars="177"/>
        <w:rPr>
          <w:rFonts w:hint="eastAsia" w:ascii="仿宋_GB2312" w:eastAsia="仿宋_GB2312" w:hAnsiTheme="minorEastAsia"/>
          <w:b/>
          <w:color w:val="FF0000"/>
          <w:sz w:val="24"/>
          <w:szCs w:val="24"/>
        </w:rPr>
      </w:pPr>
    </w:p>
    <w:p w14:paraId="6A2C4E25">
      <w:pPr>
        <w:spacing w:line="440" w:lineRule="exact"/>
        <w:ind w:firstLine="426" w:firstLineChars="177"/>
        <w:rPr>
          <w:rFonts w:ascii="仿宋_GB2312" w:eastAsia="仿宋_GB2312" w:hAnsiTheme="minorEastAsia"/>
          <w:b/>
          <w:color w:val="FF0000"/>
          <w:sz w:val="24"/>
          <w:szCs w:val="24"/>
        </w:rPr>
      </w:pPr>
      <w:r>
        <w:rPr>
          <w:rFonts w:hint="eastAsia" w:ascii="仿宋_GB2312" w:eastAsia="仿宋_GB2312" w:hAnsiTheme="minorEastAsia"/>
          <w:b/>
          <w:color w:val="FF0000"/>
          <w:sz w:val="24"/>
          <w:szCs w:val="24"/>
        </w:rPr>
        <w:t>投标供应商涉嫌存在串通投标等违法行为的，将书面报告财政主管部门依法处理。</w:t>
      </w:r>
    </w:p>
    <w:p w14:paraId="0E47E000">
      <w:pPr>
        <w:widowControl/>
        <w:jc w:val="center"/>
        <w:rPr>
          <w:rFonts w:cs="仿宋" w:asciiTheme="minorEastAsia" w:hAnsiTheme="minorEastAsia" w:eastAsiaTheme="minorEastAsia"/>
          <w:snapToGrid w:val="0"/>
        </w:rPr>
      </w:pPr>
    </w:p>
    <w:p w14:paraId="2E215A48">
      <w:pPr>
        <w:widowControl/>
        <w:jc w:val="center"/>
        <w:rPr>
          <w:rFonts w:cs="仿宋" w:asciiTheme="minorEastAsia" w:hAnsiTheme="minorEastAsia" w:eastAsiaTheme="minorEastAsia"/>
          <w:snapToGrid w:val="0"/>
        </w:rPr>
      </w:pPr>
    </w:p>
    <w:p w14:paraId="2E0FFBBE">
      <w:pPr>
        <w:widowControl/>
        <w:jc w:val="left"/>
        <w:rPr>
          <w:rFonts w:cs="仿宋" w:asciiTheme="minorEastAsia" w:hAnsiTheme="minorEastAsia" w:eastAsiaTheme="minorEastAsia"/>
          <w:snapToGrid w:val="0"/>
        </w:rPr>
      </w:pPr>
      <w:r>
        <w:rPr>
          <w:rFonts w:cs="仿宋" w:asciiTheme="minorEastAsia" w:hAnsiTheme="minorEastAsia" w:eastAsiaTheme="minorEastAsia"/>
          <w:snapToGrid w:val="0"/>
        </w:rPr>
        <w:br w:type="page"/>
      </w:r>
    </w:p>
    <w:p w14:paraId="37FA385C">
      <w:pPr>
        <w:widowControl/>
        <w:jc w:val="center"/>
        <w:rPr>
          <w:rFonts w:cs="仿宋" w:asciiTheme="minorEastAsia" w:hAnsiTheme="minorEastAsia" w:eastAsiaTheme="minorEastAsia"/>
          <w:snapToGrid w:val="0"/>
        </w:rPr>
      </w:pPr>
    </w:p>
    <w:p w14:paraId="3B64E625">
      <w:pPr>
        <w:widowControl/>
        <w:jc w:val="center"/>
        <w:rPr>
          <w:rFonts w:cs="仿宋" w:asciiTheme="minorEastAsia" w:hAnsiTheme="minorEastAsia" w:eastAsiaTheme="minorEastAsia"/>
          <w:b/>
          <w:snapToGrid w:val="0"/>
          <w:sz w:val="48"/>
          <w:szCs w:val="48"/>
        </w:rPr>
      </w:pPr>
      <w:r>
        <w:rPr>
          <w:rFonts w:hint="eastAsia" w:cs="仿宋" w:asciiTheme="minorEastAsia" w:hAnsiTheme="minorEastAsia" w:eastAsiaTheme="minorEastAsia"/>
          <w:b/>
          <w:snapToGrid w:val="0"/>
          <w:sz w:val="48"/>
          <w:szCs w:val="48"/>
        </w:rPr>
        <w:t>征集文件信息</w:t>
      </w:r>
    </w:p>
    <w:p w14:paraId="055D6FEB">
      <w:pPr>
        <w:widowControl/>
        <w:jc w:val="left"/>
        <w:rPr>
          <w:rFonts w:cs="仿宋" w:asciiTheme="minorEastAsia" w:hAnsiTheme="minorEastAsia" w:eastAsiaTheme="minorEastAsia"/>
          <w:sz w:val="28"/>
        </w:rPr>
      </w:pPr>
    </w:p>
    <w:tbl>
      <w:tblPr>
        <w:tblStyle w:val="22"/>
        <w:tblW w:w="8774"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19"/>
        <w:gridCol w:w="6555"/>
      </w:tblGrid>
      <w:tr w14:paraId="3FB4DDF7">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68103DE6">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项目名称</w:t>
            </w:r>
          </w:p>
        </w:tc>
        <w:tc>
          <w:tcPr>
            <w:tcW w:w="6555" w:type="dxa"/>
            <w:vAlign w:val="center"/>
          </w:tcPr>
          <w:p w14:paraId="10240413">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szCs w:val="21"/>
              </w:rPr>
              <w:t>警训支队布草洗涤服务采购项目</w:t>
            </w:r>
          </w:p>
        </w:tc>
      </w:tr>
      <w:tr w14:paraId="4D62B50D">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1F7D3C0A">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项目编号</w:t>
            </w:r>
          </w:p>
        </w:tc>
        <w:tc>
          <w:tcPr>
            <w:tcW w:w="6555" w:type="dxa"/>
            <w:vAlign w:val="center"/>
          </w:tcPr>
          <w:p w14:paraId="587C2067">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SZZZ2024-QC0379</w:t>
            </w:r>
          </w:p>
        </w:tc>
      </w:tr>
      <w:tr w14:paraId="65A65E80">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302290AD">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项目类型</w:t>
            </w:r>
          </w:p>
        </w:tc>
        <w:tc>
          <w:tcPr>
            <w:tcW w:w="6555" w:type="dxa"/>
            <w:vAlign w:val="center"/>
          </w:tcPr>
          <w:p w14:paraId="40BA07C6">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服务类</w:t>
            </w:r>
          </w:p>
        </w:tc>
      </w:tr>
      <w:tr w14:paraId="3785628D">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459400BD">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采购方式</w:t>
            </w:r>
          </w:p>
        </w:tc>
        <w:tc>
          <w:tcPr>
            <w:tcW w:w="6555" w:type="dxa"/>
            <w:vAlign w:val="center"/>
          </w:tcPr>
          <w:p w14:paraId="7714368B">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公开征集</w:t>
            </w:r>
          </w:p>
        </w:tc>
      </w:tr>
      <w:tr w14:paraId="33B1DA98">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2219" w:type="dxa"/>
            <w:shd w:val="clear" w:color="auto" w:fill="DDD9C4" w:themeFill="background2" w:themeFillShade="E6"/>
            <w:vAlign w:val="center"/>
          </w:tcPr>
          <w:p w14:paraId="7E2BE884">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是否评定分离</w:t>
            </w:r>
          </w:p>
        </w:tc>
        <w:tc>
          <w:tcPr>
            <w:tcW w:w="6555" w:type="dxa"/>
            <w:vAlign w:val="center"/>
          </w:tcPr>
          <w:p w14:paraId="0C424022">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否</w:t>
            </w:r>
          </w:p>
        </w:tc>
      </w:tr>
      <w:tr w14:paraId="306D0A3A">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3A33D1E2">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评审方法</w:t>
            </w:r>
          </w:p>
        </w:tc>
        <w:tc>
          <w:tcPr>
            <w:tcW w:w="6555" w:type="dxa"/>
            <w:vAlign w:val="center"/>
          </w:tcPr>
          <w:p w14:paraId="2785EE3A">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综合评分法</w:t>
            </w:r>
          </w:p>
        </w:tc>
      </w:tr>
      <w:tr w14:paraId="716F91A8">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22E3B766">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定标方法</w:t>
            </w:r>
          </w:p>
        </w:tc>
        <w:tc>
          <w:tcPr>
            <w:tcW w:w="6555" w:type="dxa"/>
            <w:vAlign w:val="center"/>
          </w:tcPr>
          <w:p w14:paraId="240DF883">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无</w:t>
            </w:r>
          </w:p>
        </w:tc>
      </w:tr>
      <w:tr w14:paraId="0004986E">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21A4201F">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候选中标供应商</w:t>
            </w:r>
          </w:p>
        </w:tc>
        <w:tc>
          <w:tcPr>
            <w:tcW w:w="6555" w:type="dxa"/>
            <w:vAlign w:val="center"/>
          </w:tcPr>
          <w:p w14:paraId="30EDB922">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公开征集：3家；邀请竞标：2家；直接采购：1家</w:t>
            </w:r>
          </w:p>
        </w:tc>
      </w:tr>
      <w:tr w14:paraId="0F35A2F1">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14:paraId="191E0220">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中标供应商</w:t>
            </w:r>
          </w:p>
        </w:tc>
        <w:tc>
          <w:tcPr>
            <w:tcW w:w="6555" w:type="dxa"/>
            <w:vAlign w:val="center"/>
          </w:tcPr>
          <w:p w14:paraId="5C4E7E4E">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1家</w:t>
            </w:r>
          </w:p>
        </w:tc>
      </w:tr>
    </w:tbl>
    <w:p w14:paraId="3AB22CAB">
      <w:pPr>
        <w:widowControl/>
        <w:jc w:val="left"/>
        <w:rPr>
          <w:rFonts w:cs="仿宋" w:asciiTheme="minorEastAsia" w:hAnsiTheme="minorEastAsia" w:eastAsiaTheme="minorEastAsia"/>
          <w:b/>
          <w:sz w:val="36"/>
        </w:rPr>
      </w:pPr>
      <w:r>
        <w:rPr>
          <w:rFonts w:hint="eastAsia" w:cs="仿宋" w:asciiTheme="minorEastAsia" w:hAnsiTheme="minorEastAsia" w:eastAsiaTheme="minorEastAsia"/>
          <w:b/>
          <w:sz w:val="36"/>
        </w:rPr>
        <w:br w:type="page"/>
      </w:r>
    </w:p>
    <w:p w14:paraId="37E367E2">
      <w:pPr>
        <w:spacing w:line="360" w:lineRule="auto"/>
        <w:jc w:val="center"/>
        <w:rPr>
          <w:rFonts w:cs="仿宋" w:asciiTheme="minorEastAsia" w:hAnsiTheme="minorEastAsia" w:eastAsiaTheme="minorEastAsia"/>
          <w:b/>
          <w:sz w:val="48"/>
          <w:szCs w:val="48"/>
        </w:rPr>
      </w:pPr>
      <w:r>
        <w:rPr>
          <w:rFonts w:hint="eastAsia" w:cs="仿宋" w:asciiTheme="minorEastAsia" w:hAnsiTheme="minorEastAsia" w:eastAsiaTheme="minorEastAsia"/>
          <w:b/>
          <w:sz w:val="48"/>
          <w:szCs w:val="48"/>
        </w:rPr>
        <w:t>征集文件目录</w:t>
      </w:r>
    </w:p>
    <w:p w14:paraId="6714B22E">
      <w:pPr>
        <w:jc w:val="center"/>
        <w:rPr>
          <w:rFonts w:cs="仿宋" w:asciiTheme="minorEastAsia" w:hAnsiTheme="minorEastAsia" w:eastAsiaTheme="minorEastAsia"/>
          <w:b/>
          <w:sz w:val="20"/>
        </w:rPr>
      </w:pP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6"/>
        <w:gridCol w:w="6996"/>
      </w:tblGrid>
      <w:tr w14:paraId="3DA5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14:paraId="1C0D1303">
            <w:pPr>
              <w:widowControl/>
              <w:spacing w:line="460" w:lineRule="exact"/>
              <w:jc w:val="center"/>
              <w:rPr>
                <w:rFonts w:ascii="仿宋_GB2312" w:eastAsia="仿宋_GB2312" w:cs="仿宋" w:hAnsiTheme="minorEastAsia"/>
                <w:sz w:val="24"/>
              </w:rPr>
            </w:pPr>
          </w:p>
        </w:tc>
        <w:tc>
          <w:tcPr>
            <w:tcW w:w="6996" w:type="dxa"/>
            <w:vAlign w:val="center"/>
          </w:tcPr>
          <w:p w14:paraId="6BFE486B">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采购公告</w:t>
            </w:r>
          </w:p>
        </w:tc>
      </w:tr>
      <w:tr w14:paraId="33C74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12C85E6E">
            <w:pPr>
              <w:widowControl/>
              <w:spacing w:line="460" w:lineRule="exact"/>
              <w:jc w:val="center"/>
              <w:rPr>
                <w:rFonts w:ascii="仿宋_GB2312" w:eastAsia="仿宋_GB2312" w:cs="仿宋" w:hAnsiTheme="minorEastAsia"/>
                <w:b/>
                <w:sz w:val="24"/>
              </w:rPr>
            </w:pPr>
            <w:r>
              <w:rPr>
                <w:rFonts w:hint="eastAsia" w:ascii="仿宋_GB2312" w:eastAsia="仿宋_GB2312" w:cs="仿宋" w:hAnsiTheme="minorEastAsia"/>
                <w:b/>
                <w:sz w:val="24"/>
              </w:rPr>
              <w:t>第一部分</w:t>
            </w:r>
          </w:p>
        </w:tc>
        <w:tc>
          <w:tcPr>
            <w:tcW w:w="6996" w:type="dxa"/>
            <w:vAlign w:val="center"/>
          </w:tcPr>
          <w:p w14:paraId="44F17998">
            <w:pPr>
              <w:widowControl/>
              <w:spacing w:line="460" w:lineRule="exact"/>
              <w:rPr>
                <w:rFonts w:ascii="仿宋_GB2312" w:eastAsia="仿宋_GB2312" w:cs="仿宋" w:hAnsiTheme="minorEastAsia"/>
                <w:b/>
                <w:sz w:val="24"/>
              </w:rPr>
            </w:pPr>
            <w:r>
              <w:rPr>
                <w:rFonts w:hint="eastAsia" w:ascii="仿宋_GB2312" w:eastAsia="仿宋_GB2312" w:cs="仿宋" w:hAnsiTheme="minorEastAsia"/>
                <w:b/>
                <w:sz w:val="24"/>
              </w:rPr>
              <w:t>投标须知前附表及评审信息</w:t>
            </w:r>
          </w:p>
        </w:tc>
      </w:tr>
      <w:tr w14:paraId="45F47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03C3244D">
            <w:pPr>
              <w:widowControl/>
              <w:spacing w:line="460" w:lineRule="exact"/>
              <w:jc w:val="center"/>
              <w:rPr>
                <w:rFonts w:ascii="仿宋_GB2312" w:eastAsia="仿宋_GB2312" w:cs="仿宋" w:hAnsiTheme="minorEastAsia"/>
                <w:sz w:val="24"/>
              </w:rPr>
            </w:pPr>
          </w:p>
        </w:tc>
        <w:tc>
          <w:tcPr>
            <w:tcW w:w="6996" w:type="dxa"/>
            <w:vAlign w:val="center"/>
          </w:tcPr>
          <w:p w14:paraId="0CCEBD2A">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投标须知前附表</w:t>
            </w:r>
          </w:p>
        </w:tc>
      </w:tr>
      <w:tr w14:paraId="72CF3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1C1E55B9">
            <w:pPr>
              <w:widowControl/>
              <w:spacing w:line="460" w:lineRule="exact"/>
              <w:jc w:val="center"/>
              <w:rPr>
                <w:rFonts w:ascii="仿宋_GB2312" w:eastAsia="仿宋_GB2312" w:cs="仿宋" w:hAnsiTheme="minorEastAsia"/>
                <w:sz w:val="24"/>
              </w:rPr>
            </w:pPr>
          </w:p>
        </w:tc>
        <w:tc>
          <w:tcPr>
            <w:tcW w:w="6996" w:type="dxa"/>
            <w:vAlign w:val="center"/>
          </w:tcPr>
          <w:p w14:paraId="508BC723">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投标须知前附件</w:t>
            </w:r>
          </w:p>
        </w:tc>
      </w:tr>
      <w:tr w14:paraId="10696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48A7ED95">
            <w:pPr>
              <w:widowControl/>
              <w:spacing w:line="460" w:lineRule="exact"/>
              <w:jc w:val="center"/>
              <w:rPr>
                <w:rFonts w:ascii="仿宋_GB2312" w:eastAsia="仿宋_GB2312" w:cs="仿宋" w:hAnsiTheme="minorEastAsia"/>
                <w:sz w:val="24"/>
              </w:rPr>
            </w:pPr>
          </w:p>
        </w:tc>
        <w:tc>
          <w:tcPr>
            <w:tcW w:w="6996" w:type="dxa"/>
            <w:vAlign w:val="center"/>
          </w:tcPr>
          <w:p w14:paraId="0EC265FD">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评审信息</w:t>
            </w:r>
          </w:p>
        </w:tc>
      </w:tr>
      <w:tr w14:paraId="23CA8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14:paraId="1BDE854F">
            <w:pPr>
              <w:widowControl/>
              <w:spacing w:line="460" w:lineRule="exact"/>
              <w:jc w:val="center"/>
              <w:rPr>
                <w:rFonts w:ascii="仿宋_GB2312" w:eastAsia="仿宋_GB2312" w:cs="仿宋" w:hAnsiTheme="minorEastAsia"/>
                <w:b/>
                <w:sz w:val="24"/>
              </w:rPr>
            </w:pPr>
            <w:r>
              <w:rPr>
                <w:rFonts w:hint="eastAsia" w:ascii="仿宋_GB2312" w:eastAsia="仿宋_GB2312" w:cs="仿宋" w:hAnsiTheme="minorEastAsia"/>
                <w:b/>
                <w:sz w:val="24"/>
              </w:rPr>
              <w:t>第二部分</w:t>
            </w:r>
          </w:p>
        </w:tc>
        <w:tc>
          <w:tcPr>
            <w:tcW w:w="6996" w:type="dxa"/>
            <w:vAlign w:val="center"/>
          </w:tcPr>
          <w:p w14:paraId="52DB117D">
            <w:pPr>
              <w:widowControl/>
              <w:spacing w:line="460" w:lineRule="exact"/>
              <w:rPr>
                <w:rFonts w:ascii="仿宋_GB2312" w:eastAsia="仿宋_GB2312" w:cs="仿宋" w:hAnsiTheme="minorEastAsia"/>
                <w:b/>
                <w:sz w:val="24"/>
              </w:rPr>
            </w:pPr>
            <w:r>
              <w:rPr>
                <w:rFonts w:hint="eastAsia" w:ascii="仿宋_GB2312" w:eastAsia="仿宋_GB2312" w:cs="仿宋" w:hAnsiTheme="minorEastAsia"/>
                <w:b/>
                <w:sz w:val="24"/>
              </w:rPr>
              <w:t>采购项目需求</w:t>
            </w:r>
          </w:p>
        </w:tc>
      </w:tr>
      <w:tr w14:paraId="0C748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2AF5243B">
            <w:pPr>
              <w:widowControl/>
              <w:spacing w:line="460" w:lineRule="exact"/>
              <w:jc w:val="center"/>
              <w:rPr>
                <w:rFonts w:ascii="仿宋_GB2312" w:eastAsia="仿宋_GB2312" w:cs="仿宋" w:hAnsiTheme="minorEastAsia"/>
                <w:sz w:val="24"/>
              </w:rPr>
            </w:pPr>
          </w:p>
        </w:tc>
        <w:tc>
          <w:tcPr>
            <w:tcW w:w="6996" w:type="dxa"/>
            <w:vAlign w:val="center"/>
          </w:tcPr>
          <w:p w14:paraId="6105DD6E">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采购项目需求</w:t>
            </w:r>
          </w:p>
        </w:tc>
      </w:tr>
      <w:tr w14:paraId="78CAD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14:paraId="667D672D">
            <w:pPr>
              <w:widowControl/>
              <w:spacing w:line="460" w:lineRule="exact"/>
              <w:jc w:val="center"/>
              <w:rPr>
                <w:rFonts w:ascii="仿宋_GB2312" w:eastAsia="仿宋_GB2312" w:cs="仿宋" w:hAnsiTheme="minorEastAsia"/>
                <w:b/>
                <w:sz w:val="24"/>
              </w:rPr>
            </w:pPr>
            <w:r>
              <w:rPr>
                <w:rFonts w:hint="eastAsia" w:ascii="仿宋_GB2312" w:eastAsia="仿宋_GB2312" w:cs="仿宋" w:hAnsiTheme="minorEastAsia"/>
                <w:b/>
                <w:sz w:val="24"/>
              </w:rPr>
              <w:t>第三部分</w:t>
            </w:r>
          </w:p>
        </w:tc>
        <w:tc>
          <w:tcPr>
            <w:tcW w:w="6996" w:type="dxa"/>
            <w:vAlign w:val="center"/>
          </w:tcPr>
          <w:p w14:paraId="526E5DFF">
            <w:pPr>
              <w:widowControl/>
              <w:spacing w:line="460" w:lineRule="exact"/>
              <w:rPr>
                <w:rFonts w:ascii="仿宋_GB2312" w:eastAsia="仿宋_GB2312" w:cs="仿宋" w:hAnsiTheme="minorEastAsia"/>
                <w:b/>
                <w:sz w:val="24"/>
              </w:rPr>
            </w:pPr>
            <w:r>
              <w:rPr>
                <w:rFonts w:hint="eastAsia" w:ascii="仿宋_GB2312" w:eastAsia="仿宋_GB2312" w:cs="仿宋" w:hAnsiTheme="minorEastAsia"/>
                <w:b/>
                <w:sz w:val="24"/>
              </w:rPr>
              <w:t>投标文件格式</w:t>
            </w:r>
          </w:p>
        </w:tc>
      </w:tr>
      <w:tr w14:paraId="51499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4544F33A">
            <w:pPr>
              <w:widowControl/>
              <w:spacing w:line="460" w:lineRule="exact"/>
              <w:jc w:val="center"/>
              <w:rPr>
                <w:rFonts w:ascii="仿宋_GB2312" w:eastAsia="仿宋_GB2312" w:cs="仿宋" w:hAnsiTheme="minorEastAsia"/>
                <w:sz w:val="24"/>
              </w:rPr>
            </w:pPr>
          </w:p>
        </w:tc>
        <w:tc>
          <w:tcPr>
            <w:tcW w:w="6996" w:type="dxa"/>
            <w:vAlign w:val="center"/>
          </w:tcPr>
          <w:p w14:paraId="3B9EE9FD">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投标文件目录</w:t>
            </w:r>
          </w:p>
        </w:tc>
      </w:tr>
      <w:tr w14:paraId="7D554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26998BFD">
            <w:pPr>
              <w:widowControl/>
              <w:spacing w:line="460" w:lineRule="exact"/>
              <w:jc w:val="center"/>
              <w:rPr>
                <w:rFonts w:ascii="仿宋_GB2312" w:eastAsia="仿宋_GB2312" w:cs="仿宋" w:hAnsiTheme="minorEastAsia"/>
                <w:sz w:val="24"/>
              </w:rPr>
            </w:pPr>
          </w:p>
        </w:tc>
        <w:tc>
          <w:tcPr>
            <w:tcW w:w="6996" w:type="dxa"/>
            <w:vAlign w:val="center"/>
          </w:tcPr>
          <w:p w14:paraId="43D7C77A">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政府采购违法行为风险知悉确认书</w:t>
            </w:r>
          </w:p>
        </w:tc>
      </w:tr>
      <w:tr w14:paraId="3185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529DC2EC">
            <w:pPr>
              <w:widowControl/>
              <w:spacing w:line="460" w:lineRule="exact"/>
              <w:jc w:val="center"/>
              <w:rPr>
                <w:rFonts w:ascii="仿宋_GB2312" w:eastAsia="仿宋_GB2312" w:cs="仿宋" w:hAnsiTheme="minorEastAsia"/>
                <w:sz w:val="24"/>
              </w:rPr>
            </w:pPr>
          </w:p>
        </w:tc>
        <w:tc>
          <w:tcPr>
            <w:tcW w:w="6996" w:type="dxa"/>
            <w:vAlign w:val="center"/>
          </w:tcPr>
          <w:p w14:paraId="24D86529">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评审指引表</w:t>
            </w:r>
          </w:p>
        </w:tc>
      </w:tr>
      <w:tr w14:paraId="43A2E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774A9D64">
            <w:pPr>
              <w:widowControl/>
              <w:spacing w:line="460" w:lineRule="exact"/>
              <w:jc w:val="center"/>
              <w:rPr>
                <w:rFonts w:ascii="仿宋_GB2312" w:eastAsia="仿宋_GB2312" w:cs="仿宋" w:hAnsiTheme="minorEastAsia"/>
                <w:sz w:val="24"/>
              </w:rPr>
            </w:pPr>
          </w:p>
        </w:tc>
        <w:tc>
          <w:tcPr>
            <w:tcW w:w="6996" w:type="dxa"/>
            <w:vAlign w:val="center"/>
          </w:tcPr>
          <w:p w14:paraId="4107E7DD">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格式1 声明函</w:t>
            </w:r>
          </w:p>
        </w:tc>
      </w:tr>
      <w:tr w14:paraId="4E8C8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17748E30">
            <w:pPr>
              <w:widowControl/>
              <w:spacing w:line="460" w:lineRule="exact"/>
              <w:jc w:val="center"/>
              <w:rPr>
                <w:rFonts w:ascii="仿宋_GB2312" w:eastAsia="仿宋_GB2312" w:cs="仿宋" w:hAnsiTheme="minorEastAsia"/>
                <w:sz w:val="24"/>
              </w:rPr>
            </w:pPr>
          </w:p>
        </w:tc>
        <w:tc>
          <w:tcPr>
            <w:tcW w:w="6996" w:type="dxa"/>
            <w:vAlign w:val="center"/>
          </w:tcPr>
          <w:p w14:paraId="0D39564C">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格式2 投标供应商资格证明文件</w:t>
            </w:r>
          </w:p>
        </w:tc>
      </w:tr>
      <w:tr w14:paraId="5284E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4499779B">
            <w:pPr>
              <w:widowControl/>
              <w:spacing w:line="460" w:lineRule="exact"/>
              <w:jc w:val="center"/>
              <w:rPr>
                <w:rFonts w:ascii="仿宋_GB2312" w:eastAsia="仿宋_GB2312" w:cs="仿宋" w:hAnsiTheme="minorEastAsia"/>
                <w:sz w:val="24"/>
              </w:rPr>
            </w:pPr>
          </w:p>
        </w:tc>
        <w:tc>
          <w:tcPr>
            <w:tcW w:w="6996" w:type="dxa"/>
            <w:vAlign w:val="center"/>
          </w:tcPr>
          <w:p w14:paraId="06A6904B">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格式3评分中涉及的承诺及声明函</w:t>
            </w:r>
          </w:p>
        </w:tc>
      </w:tr>
      <w:tr w14:paraId="2BCBB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0D30730B">
            <w:pPr>
              <w:widowControl/>
              <w:spacing w:line="460" w:lineRule="exact"/>
              <w:jc w:val="center"/>
              <w:rPr>
                <w:rFonts w:ascii="仿宋_GB2312" w:eastAsia="仿宋_GB2312" w:cs="仿宋" w:hAnsiTheme="minorEastAsia"/>
                <w:sz w:val="24"/>
              </w:rPr>
            </w:pPr>
          </w:p>
        </w:tc>
        <w:tc>
          <w:tcPr>
            <w:tcW w:w="6996" w:type="dxa"/>
            <w:vAlign w:val="center"/>
          </w:tcPr>
          <w:p w14:paraId="6EA0BEB6">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格式4 开标一览表</w:t>
            </w:r>
          </w:p>
        </w:tc>
      </w:tr>
      <w:tr w14:paraId="3B550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4E0172CA">
            <w:pPr>
              <w:widowControl/>
              <w:spacing w:line="460" w:lineRule="exact"/>
              <w:jc w:val="center"/>
              <w:rPr>
                <w:rFonts w:ascii="仿宋_GB2312" w:eastAsia="仿宋_GB2312" w:cs="仿宋" w:hAnsiTheme="minorEastAsia"/>
                <w:sz w:val="24"/>
              </w:rPr>
            </w:pPr>
          </w:p>
        </w:tc>
        <w:tc>
          <w:tcPr>
            <w:tcW w:w="6996" w:type="dxa"/>
            <w:vAlign w:val="center"/>
          </w:tcPr>
          <w:p w14:paraId="50E961BF">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格式5 报价表</w:t>
            </w:r>
          </w:p>
        </w:tc>
      </w:tr>
      <w:tr w14:paraId="07223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010F865C">
            <w:pPr>
              <w:widowControl/>
              <w:spacing w:line="460" w:lineRule="exact"/>
              <w:jc w:val="center"/>
              <w:rPr>
                <w:rFonts w:ascii="仿宋_GB2312" w:eastAsia="仿宋_GB2312" w:cs="仿宋" w:hAnsiTheme="minorEastAsia"/>
                <w:sz w:val="24"/>
              </w:rPr>
            </w:pPr>
          </w:p>
        </w:tc>
        <w:tc>
          <w:tcPr>
            <w:tcW w:w="6996" w:type="dxa"/>
            <w:vAlign w:val="center"/>
          </w:tcPr>
          <w:p w14:paraId="3ADF3205">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格式6 服务方案</w:t>
            </w:r>
          </w:p>
        </w:tc>
      </w:tr>
      <w:tr w14:paraId="06645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1F690874">
            <w:pPr>
              <w:widowControl/>
              <w:spacing w:line="460" w:lineRule="exact"/>
              <w:jc w:val="center"/>
              <w:rPr>
                <w:rFonts w:ascii="仿宋_GB2312" w:eastAsia="仿宋_GB2312" w:cs="仿宋" w:hAnsiTheme="minorEastAsia"/>
                <w:sz w:val="24"/>
              </w:rPr>
            </w:pPr>
          </w:p>
        </w:tc>
        <w:tc>
          <w:tcPr>
            <w:tcW w:w="6996" w:type="dxa"/>
            <w:vAlign w:val="center"/>
          </w:tcPr>
          <w:p w14:paraId="38DCE91A">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格式7 差异表</w:t>
            </w:r>
          </w:p>
        </w:tc>
      </w:tr>
      <w:tr w14:paraId="30C3B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729E2036">
            <w:pPr>
              <w:widowControl/>
              <w:spacing w:line="460" w:lineRule="exact"/>
              <w:jc w:val="center"/>
              <w:rPr>
                <w:rFonts w:ascii="仿宋_GB2312" w:eastAsia="仿宋_GB2312" w:cs="仿宋" w:hAnsiTheme="minorEastAsia"/>
                <w:sz w:val="24"/>
              </w:rPr>
            </w:pPr>
          </w:p>
        </w:tc>
        <w:tc>
          <w:tcPr>
            <w:tcW w:w="6996" w:type="dxa"/>
            <w:vAlign w:val="center"/>
          </w:tcPr>
          <w:p w14:paraId="173553C7">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格式8 其他征集文件要求的资料或投标供应商认为需要补充的资料</w:t>
            </w:r>
          </w:p>
        </w:tc>
      </w:tr>
      <w:tr w14:paraId="0D537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1E6F1F0F">
            <w:pPr>
              <w:widowControl/>
              <w:spacing w:line="460" w:lineRule="exact"/>
              <w:jc w:val="center"/>
              <w:rPr>
                <w:rFonts w:ascii="仿宋_GB2312" w:eastAsia="仿宋_GB2312" w:cs="仿宋" w:hAnsiTheme="minorEastAsia"/>
                <w:b/>
                <w:sz w:val="24"/>
              </w:rPr>
            </w:pPr>
            <w:r>
              <w:rPr>
                <w:rFonts w:hint="eastAsia" w:ascii="仿宋_GB2312" w:eastAsia="仿宋_GB2312" w:cs="仿宋" w:hAnsiTheme="minorEastAsia"/>
                <w:b/>
                <w:sz w:val="24"/>
              </w:rPr>
              <w:t>第四部分</w:t>
            </w:r>
          </w:p>
        </w:tc>
        <w:tc>
          <w:tcPr>
            <w:tcW w:w="6996" w:type="dxa"/>
            <w:vAlign w:val="center"/>
          </w:tcPr>
          <w:p w14:paraId="30189024">
            <w:pPr>
              <w:widowControl/>
              <w:spacing w:line="460" w:lineRule="exact"/>
              <w:rPr>
                <w:rFonts w:ascii="仿宋_GB2312" w:eastAsia="仿宋_GB2312" w:cs="仿宋" w:hAnsiTheme="minorEastAsia"/>
                <w:b/>
                <w:sz w:val="24"/>
              </w:rPr>
            </w:pPr>
            <w:r>
              <w:rPr>
                <w:rFonts w:hint="eastAsia" w:ascii="仿宋_GB2312" w:eastAsia="仿宋_GB2312" w:cs="仿宋" w:hAnsiTheme="minorEastAsia"/>
                <w:b/>
                <w:sz w:val="24"/>
              </w:rPr>
              <w:t>合同条款</w:t>
            </w:r>
          </w:p>
        </w:tc>
      </w:tr>
      <w:tr w14:paraId="19A5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531EE956">
            <w:pPr>
              <w:widowControl/>
              <w:spacing w:line="460" w:lineRule="exact"/>
              <w:jc w:val="center"/>
              <w:rPr>
                <w:rFonts w:ascii="仿宋_GB2312" w:eastAsia="仿宋_GB2312" w:cs="仿宋" w:hAnsiTheme="minorEastAsia"/>
                <w:sz w:val="24"/>
              </w:rPr>
            </w:pPr>
          </w:p>
        </w:tc>
        <w:tc>
          <w:tcPr>
            <w:tcW w:w="6996" w:type="dxa"/>
            <w:vAlign w:val="center"/>
          </w:tcPr>
          <w:p w14:paraId="14AF0FBB">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合同条款</w:t>
            </w:r>
          </w:p>
        </w:tc>
      </w:tr>
      <w:tr w14:paraId="7D438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5E0AAE98">
            <w:pPr>
              <w:widowControl/>
              <w:spacing w:line="460" w:lineRule="exact"/>
              <w:jc w:val="center"/>
              <w:rPr>
                <w:rFonts w:ascii="仿宋_GB2312" w:eastAsia="仿宋_GB2312" w:cs="仿宋" w:hAnsiTheme="minorEastAsia"/>
                <w:b/>
                <w:sz w:val="24"/>
              </w:rPr>
            </w:pPr>
            <w:r>
              <w:rPr>
                <w:rFonts w:hint="eastAsia" w:ascii="仿宋_GB2312" w:eastAsia="仿宋_GB2312" w:cs="仿宋" w:hAnsiTheme="minorEastAsia"/>
                <w:b/>
                <w:sz w:val="24"/>
              </w:rPr>
              <w:t>第五部分</w:t>
            </w:r>
          </w:p>
        </w:tc>
        <w:tc>
          <w:tcPr>
            <w:tcW w:w="6996" w:type="dxa"/>
            <w:vAlign w:val="center"/>
          </w:tcPr>
          <w:p w14:paraId="2A3E7183">
            <w:pPr>
              <w:widowControl/>
              <w:spacing w:line="460" w:lineRule="exact"/>
              <w:rPr>
                <w:rFonts w:ascii="仿宋_GB2312" w:eastAsia="仿宋_GB2312" w:cs="仿宋" w:hAnsiTheme="minorEastAsia"/>
                <w:b/>
                <w:sz w:val="24"/>
              </w:rPr>
            </w:pPr>
            <w:r>
              <w:rPr>
                <w:rFonts w:hint="eastAsia" w:ascii="仿宋_GB2312" w:eastAsia="仿宋_GB2312" w:cs="仿宋" w:hAnsiTheme="minorEastAsia"/>
                <w:b/>
                <w:sz w:val="24"/>
              </w:rPr>
              <w:t>通用条款（投标须知）</w:t>
            </w:r>
          </w:p>
        </w:tc>
      </w:tr>
      <w:tr w14:paraId="7CF1D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62DD3EAF">
            <w:pPr>
              <w:widowControl/>
              <w:spacing w:line="460" w:lineRule="exact"/>
              <w:jc w:val="center"/>
              <w:rPr>
                <w:rFonts w:ascii="仿宋_GB2312" w:eastAsia="仿宋_GB2312" w:cs="仿宋" w:hAnsiTheme="minorEastAsia"/>
                <w:sz w:val="24"/>
              </w:rPr>
            </w:pPr>
          </w:p>
        </w:tc>
        <w:tc>
          <w:tcPr>
            <w:tcW w:w="6996" w:type="dxa"/>
            <w:vAlign w:val="center"/>
          </w:tcPr>
          <w:p w14:paraId="2B52EF06">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A、说明；B、征集文件说明；C、投标文件的编写；</w:t>
            </w:r>
          </w:p>
          <w:p w14:paraId="4EB38CF5">
            <w:pPr>
              <w:widowControl/>
              <w:spacing w:line="460" w:lineRule="exact"/>
              <w:rPr>
                <w:rFonts w:ascii="仿宋_GB2312" w:eastAsia="仿宋_GB2312" w:cs="仿宋" w:hAnsiTheme="minorEastAsia"/>
                <w:sz w:val="24"/>
              </w:rPr>
            </w:pPr>
            <w:r>
              <w:rPr>
                <w:rFonts w:hint="eastAsia" w:ascii="仿宋_GB2312" w:eastAsia="仿宋_GB2312" w:cs="仿宋" w:hAnsiTheme="minorEastAsia"/>
                <w:sz w:val="24"/>
              </w:rPr>
              <w:t>D、投标文件递交；E、开标和评审；F、授予合同；；G、公开征集失败的后续处理</w:t>
            </w:r>
          </w:p>
        </w:tc>
      </w:tr>
      <w:tr w14:paraId="638E6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23B85A2C">
            <w:pPr>
              <w:widowControl/>
              <w:spacing w:line="460" w:lineRule="exact"/>
              <w:jc w:val="center"/>
              <w:rPr>
                <w:rFonts w:ascii="仿宋_GB2312" w:eastAsia="仿宋_GB2312" w:cs="仿宋" w:hAnsiTheme="minorEastAsia"/>
                <w:b/>
                <w:sz w:val="24"/>
              </w:rPr>
            </w:pPr>
            <w:r>
              <w:rPr>
                <w:rFonts w:hint="eastAsia" w:ascii="仿宋_GB2312" w:eastAsia="仿宋_GB2312" w:cs="仿宋" w:hAnsiTheme="minorEastAsia"/>
                <w:b/>
                <w:sz w:val="24"/>
              </w:rPr>
              <w:t>第六部分</w:t>
            </w:r>
          </w:p>
        </w:tc>
        <w:tc>
          <w:tcPr>
            <w:tcW w:w="6996" w:type="dxa"/>
            <w:vAlign w:val="center"/>
          </w:tcPr>
          <w:p w14:paraId="61BDE468">
            <w:pPr>
              <w:widowControl/>
              <w:spacing w:line="460" w:lineRule="exact"/>
              <w:rPr>
                <w:rFonts w:ascii="仿宋_GB2312" w:eastAsia="仿宋_GB2312" w:cs="仿宋" w:hAnsiTheme="minorEastAsia"/>
                <w:b/>
                <w:sz w:val="24"/>
              </w:rPr>
            </w:pPr>
            <w:r>
              <w:rPr>
                <w:rFonts w:hint="eastAsia" w:ascii="仿宋_GB2312" w:eastAsia="仿宋_GB2312" w:cs="仿宋" w:hAnsiTheme="minorEastAsia"/>
                <w:b/>
                <w:sz w:val="24"/>
              </w:rPr>
              <w:t>附件</w:t>
            </w:r>
          </w:p>
        </w:tc>
      </w:tr>
      <w:tr w14:paraId="377E2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7E98DF61">
            <w:pPr>
              <w:widowControl/>
              <w:spacing w:line="460" w:lineRule="exact"/>
              <w:jc w:val="center"/>
              <w:rPr>
                <w:rFonts w:ascii="仿宋_GB2312" w:eastAsia="仿宋_GB2312" w:cs="仿宋" w:hAnsiTheme="minorEastAsia"/>
                <w:sz w:val="24"/>
              </w:rPr>
            </w:pPr>
          </w:p>
        </w:tc>
        <w:tc>
          <w:tcPr>
            <w:tcW w:w="6996" w:type="dxa"/>
            <w:vAlign w:val="center"/>
          </w:tcPr>
          <w:p w14:paraId="633D1890">
            <w:pPr>
              <w:spacing w:line="460" w:lineRule="exact"/>
              <w:rPr>
                <w:rFonts w:ascii="仿宋_GB2312" w:eastAsia="仿宋_GB2312" w:cs="仿宋" w:hAnsiTheme="minorEastAsia"/>
                <w:sz w:val="24"/>
              </w:rPr>
            </w:pPr>
            <w:r>
              <w:rPr>
                <w:rFonts w:hint="eastAsia" w:ascii="仿宋_GB2312" w:eastAsia="仿宋_GB2312" w:cs="仿宋" w:hAnsiTheme="minorEastAsia"/>
                <w:sz w:val="24"/>
              </w:rPr>
              <w:t>附件</w:t>
            </w:r>
            <w:bookmarkStart w:id="0" w:name="_Hlt229371809"/>
            <w:r>
              <w:rPr>
                <w:rFonts w:hint="eastAsia" w:ascii="仿宋_GB2312" w:eastAsia="仿宋_GB2312" w:cs="仿宋" w:hAnsiTheme="minorEastAsia"/>
                <w:sz w:val="24"/>
              </w:rPr>
              <w:t>1</w:t>
            </w:r>
            <w:bookmarkEnd w:id="0"/>
            <w:r>
              <w:rPr>
                <w:rFonts w:hint="eastAsia" w:ascii="仿宋_GB2312" w:eastAsia="仿宋_GB2312" w:cs="仿宋" w:hAnsiTheme="minorEastAsia"/>
                <w:sz w:val="24"/>
              </w:rPr>
              <w:t xml:space="preserve">  履</w:t>
            </w:r>
            <w:bookmarkStart w:id="1" w:name="_Hlt358023691"/>
            <w:r>
              <w:rPr>
                <w:rFonts w:hint="eastAsia" w:ascii="仿宋_GB2312" w:eastAsia="仿宋_GB2312" w:cs="仿宋" w:hAnsiTheme="minorEastAsia"/>
                <w:sz w:val="24"/>
              </w:rPr>
              <w:t>约</w:t>
            </w:r>
            <w:bookmarkEnd w:id="1"/>
            <w:r>
              <w:rPr>
                <w:rFonts w:hint="eastAsia" w:ascii="仿宋_GB2312" w:eastAsia="仿宋_GB2312" w:cs="仿宋" w:hAnsiTheme="minorEastAsia"/>
                <w:sz w:val="24"/>
              </w:rPr>
              <w:t>保</w:t>
            </w:r>
            <w:bookmarkStart w:id="2" w:name="_Hlt356375839"/>
            <w:bookmarkStart w:id="3" w:name="_Hlt356375840"/>
            <w:r>
              <w:rPr>
                <w:rFonts w:hint="eastAsia" w:ascii="仿宋_GB2312" w:eastAsia="仿宋_GB2312" w:cs="仿宋" w:hAnsiTheme="minorEastAsia"/>
                <w:sz w:val="24"/>
              </w:rPr>
              <w:t>证</w:t>
            </w:r>
            <w:bookmarkEnd w:id="2"/>
            <w:bookmarkEnd w:id="3"/>
            <w:r>
              <w:rPr>
                <w:rFonts w:hint="eastAsia" w:ascii="仿宋_GB2312" w:eastAsia="仿宋_GB2312" w:cs="仿宋" w:hAnsiTheme="minorEastAsia"/>
                <w:sz w:val="24"/>
              </w:rPr>
              <w:t>金</w:t>
            </w:r>
          </w:p>
        </w:tc>
      </w:tr>
    </w:tbl>
    <w:p w14:paraId="25FBC1C6">
      <w:pPr>
        <w:jc w:val="left"/>
        <w:rPr>
          <w:rFonts w:cs="仿宋" w:asciiTheme="minorEastAsia" w:hAnsiTheme="minorEastAsia" w:eastAsiaTheme="minorEastAsia"/>
        </w:rPr>
      </w:pPr>
    </w:p>
    <w:p w14:paraId="2DC23084">
      <w:pPr>
        <w:pStyle w:val="4"/>
        <w:keepNext w:val="0"/>
        <w:rPr>
          <w:rFonts w:cs="仿宋" w:asciiTheme="minorEastAsia" w:hAnsiTheme="minorEastAsia" w:eastAsiaTheme="minorEastAsia"/>
          <w:b/>
          <w:snapToGrid w:val="0"/>
          <w:color w:val="auto"/>
          <w:kern w:val="0"/>
          <w:sz w:val="72"/>
        </w:rPr>
      </w:pPr>
    </w:p>
    <w:p w14:paraId="7ADB6757">
      <w:pPr>
        <w:pStyle w:val="4"/>
        <w:keepNext w:val="0"/>
        <w:rPr>
          <w:rFonts w:cs="仿宋" w:asciiTheme="minorEastAsia" w:hAnsiTheme="minorEastAsia" w:eastAsiaTheme="minorEastAsia"/>
          <w:b/>
          <w:snapToGrid w:val="0"/>
          <w:color w:val="auto"/>
          <w:kern w:val="0"/>
          <w:sz w:val="72"/>
        </w:rPr>
      </w:pPr>
    </w:p>
    <w:p w14:paraId="462E40D7">
      <w:pPr>
        <w:pStyle w:val="4"/>
        <w:keepNext w:val="0"/>
        <w:rPr>
          <w:rFonts w:cs="仿宋" w:asciiTheme="minorEastAsia" w:hAnsiTheme="minorEastAsia" w:eastAsiaTheme="minorEastAsia"/>
          <w:b/>
          <w:snapToGrid w:val="0"/>
          <w:color w:val="auto"/>
          <w:kern w:val="0"/>
          <w:sz w:val="72"/>
        </w:rPr>
      </w:pPr>
    </w:p>
    <w:p w14:paraId="4032B800">
      <w:pPr>
        <w:pStyle w:val="4"/>
        <w:keepNext w:val="0"/>
        <w:rPr>
          <w:rFonts w:cs="仿宋" w:asciiTheme="minorEastAsia" w:hAnsiTheme="minorEastAsia" w:eastAsiaTheme="minorEastAsia"/>
          <w:b/>
          <w:snapToGrid w:val="0"/>
          <w:color w:val="auto"/>
          <w:kern w:val="0"/>
          <w:sz w:val="72"/>
        </w:rPr>
      </w:pPr>
    </w:p>
    <w:p w14:paraId="62539345">
      <w:pPr>
        <w:pStyle w:val="4"/>
        <w:keepNext w:val="0"/>
        <w:rPr>
          <w:rFonts w:cs="仿宋" w:asciiTheme="minorEastAsia" w:hAnsiTheme="minorEastAsia" w:eastAsiaTheme="minorEastAsia"/>
          <w:b/>
          <w:snapToGrid w:val="0"/>
          <w:color w:val="auto"/>
          <w:kern w:val="0"/>
          <w:sz w:val="72"/>
        </w:rPr>
      </w:pPr>
    </w:p>
    <w:p w14:paraId="4746640E">
      <w:pPr>
        <w:pStyle w:val="4"/>
        <w:keepNext w:val="0"/>
        <w:rPr>
          <w:rFonts w:cs="仿宋" w:asciiTheme="minorEastAsia" w:hAnsiTheme="minorEastAsia" w:eastAsiaTheme="minorEastAsia"/>
          <w:b/>
          <w:snapToGrid w:val="0"/>
          <w:color w:val="auto"/>
          <w:kern w:val="0"/>
          <w:sz w:val="72"/>
        </w:rPr>
      </w:pPr>
      <w:r>
        <w:rPr>
          <w:rFonts w:hint="eastAsia" w:cs="仿宋" w:asciiTheme="minorEastAsia" w:hAnsiTheme="minorEastAsia" w:eastAsiaTheme="minorEastAsia"/>
          <w:b/>
          <w:snapToGrid w:val="0"/>
          <w:color w:val="auto"/>
          <w:kern w:val="0"/>
          <w:sz w:val="96"/>
        </w:rPr>
        <w:t>采购公告</w:t>
      </w:r>
    </w:p>
    <w:p w14:paraId="0909C190">
      <w:pPr>
        <w:rPr>
          <w:rFonts w:cs="仿宋" w:asciiTheme="minorEastAsia" w:hAnsiTheme="minorEastAsia" w:eastAsiaTheme="minorEastAsia"/>
          <w:snapToGrid w:val="0"/>
          <w:kern w:val="0"/>
          <w:szCs w:val="20"/>
        </w:rPr>
      </w:pPr>
      <w:r>
        <w:rPr>
          <w:rFonts w:hint="eastAsia" w:cs="仿宋" w:asciiTheme="minorEastAsia" w:hAnsiTheme="minorEastAsia" w:eastAsiaTheme="minorEastAsia"/>
          <w:snapToGrid w:val="0"/>
          <w:kern w:val="0"/>
        </w:rPr>
        <w:br w:type="page"/>
      </w:r>
    </w:p>
    <w:p w14:paraId="5668EDB8">
      <w:pPr>
        <w:jc w:val="center"/>
        <w:rPr>
          <w:rFonts w:ascii="仿宋_GB2312" w:hAnsi="黑体" w:eastAsia="仿宋_GB2312" w:cs="仿宋"/>
          <w:b/>
          <w:bCs/>
          <w:snapToGrid w:val="0"/>
          <w:kern w:val="0"/>
          <w:sz w:val="32"/>
          <w:szCs w:val="32"/>
        </w:rPr>
      </w:pPr>
      <w:r>
        <w:rPr>
          <w:rFonts w:hint="eastAsia" w:ascii="仿宋_GB2312" w:hAnsi="黑体" w:eastAsia="仿宋_GB2312" w:cs="仿宋"/>
          <w:b/>
          <w:bCs/>
          <w:snapToGrid w:val="0"/>
          <w:kern w:val="0"/>
          <w:sz w:val="32"/>
          <w:szCs w:val="32"/>
        </w:rPr>
        <w:t>警训支队布草洗涤服务采购项目采购公告</w:t>
      </w:r>
    </w:p>
    <w:p w14:paraId="5CAA92D2">
      <w:pPr>
        <w:spacing w:line="360" w:lineRule="auto"/>
        <w:rPr>
          <w:rFonts w:cs="仿宋" w:asciiTheme="minorEastAsia" w:hAnsiTheme="minorEastAsia" w:eastAsiaTheme="minorEastAsia"/>
          <w:b/>
          <w:sz w:val="24"/>
          <w:szCs w:val="24"/>
        </w:rPr>
      </w:pPr>
    </w:p>
    <w:p w14:paraId="155C3890">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一、项目概况</w:t>
      </w:r>
      <w:bookmarkStart w:id="13" w:name="_GoBack"/>
      <w:bookmarkEnd w:id="13"/>
    </w:p>
    <w:p w14:paraId="0DF5CE8A">
      <w:pPr>
        <w:spacing w:line="360" w:lineRule="auto"/>
        <w:ind w:firstLine="424" w:firstLineChars="202"/>
        <w:rPr>
          <w:rFonts w:cs="仿宋" w:asciiTheme="minorEastAsia" w:hAnsiTheme="minorEastAsia" w:eastAsiaTheme="minorEastAsia"/>
          <w:bCs/>
          <w:szCs w:val="21"/>
        </w:rPr>
      </w:pPr>
      <w:r>
        <w:rPr>
          <w:rFonts w:hint="eastAsia" w:cs="仿宋" w:asciiTheme="minorEastAsia" w:hAnsiTheme="minorEastAsia" w:eastAsiaTheme="minorEastAsia"/>
          <w:bCs/>
          <w:szCs w:val="21"/>
          <w:u w:val="single"/>
        </w:rPr>
        <w:t>警训支队布草洗涤服务采购项目</w:t>
      </w:r>
      <w:r>
        <w:rPr>
          <w:rFonts w:hint="eastAsia" w:cs="仿宋" w:asciiTheme="minorEastAsia" w:hAnsiTheme="minorEastAsia" w:eastAsiaTheme="minorEastAsia"/>
          <w:bCs/>
          <w:szCs w:val="21"/>
        </w:rPr>
        <w:t>项目</w:t>
      </w:r>
      <w:r>
        <w:rPr>
          <w:rFonts w:hint="eastAsia" w:cs="仿宋" w:asciiTheme="minorEastAsia" w:hAnsiTheme="minorEastAsia" w:eastAsiaTheme="minorEastAsia"/>
          <w:szCs w:val="21"/>
        </w:rPr>
        <w:t>的潜在投标供应商应在</w:t>
      </w:r>
      <w:r>
        <w:rPr>
          <w:rFonts w:hint="eastAsia" w:cs="仿宋" w:asciiTheme="minorEastAsia" w:hAnsiTheme="minorEastAsia" w:eastAsiaTheme="minorEastAsia"/>
          <w:szCs w:val="21"/>
          <w:u w:val="single"/>
        </w:rPr>
        <w:t>深圳市中正招标有限公司</w:t>
      </w:r>
      <w:r>
        <w:rPr>
          <w:rFonts w:hint="eastAsia" w:cs="仿宋" w:asciiTheme="minorEastAsia" w:hAnsiTheme="minorEastAsia" w:eastAsiaTheme="minorEastAsia"/>
          <w:szCs w:val="21"/>
        </w:rPr>
        <w:t>获取征集文件，并于</w:t>
      </w:r>
      <w:r>
        <w:rPr>
          <w:rFonts w:hint="eastAsia" w:cs="仿宋" w:asciiTheme="minorEastAsia" w:hAnsiTheme="minorEastAsia" w:eastAsiaTheme="minorEastAsia"/>
          <w:szCs w:val="21"/>
          <w:u w:val="single"/>
        </w:rPr>
        <w:t>2024</w:t>
      </w:r>
      <w:r>
        <w:rPr>
          <w:rFonts w:hint="eastAsia" w:cs="仿宋" w:asciiTheme="minorEastAsia" w:hAnsiTheme="minorEastAsia" w:eastAsiaTheme="minorEastAsia"/>
          <w:bCs/>
          <w:szCs w:val="21"/>
        </w:rPr>
        <w:t>年</w:t>
      </w:r>
      <w:r>
        <w:rPr>
          <w:rFonts w:hint="eastAsia" w:cs="仿宋" w:asciiTheme="minorEastAsia" w:hAnsiTheme="minorEastAsia" w:eastAsiaTheme="minorEastAsia"/>
          <w:bCs/>
          <w:szCs w:val="21"/>
          <w:u w:val="single"/>
          <w:lang w:val="en-US" w:eastAsia="zh-CN"/>
        </w:rPr>
        <w:t>09</w:t>
      </w:r>
      <w:r>
        <w:rPr>
          <w:rFonts w:hint="eastAsia" w:cs="仿宋" w:asciiTheme="minorEastAsia" w:hAnsiTheme="minorEastAsia" w:eastAsiaTheme="minorEastAsia"/>
          <w:bCs/>
          <w:szCs w:val="21"/>
        </w:rPr>
        <w:t>月</w:t>
      </w:r>
      <w:r>
        <w:rPr>
          <w:rFonts w:hint="eastAsia" w:cs="仿宋" w:asciiTheme="minorEastAsia" w:hAnsiTheme="minorEastAsia" w:eastAsiaTheme="minorEastAsia"/>
          <w:bCs/>
          <w:szCs w:val="21"/>
          <w:u w:val="single"/>
          <w:lang w:val="en-US" w:eastAsia="zh-CN"/>
        </w:rPr>
        <w:t>19</w:t>
      </w:r>
      <w:r>
        <w:rPr>
          <w:rFonts w:hint="eastAsia" w:cs="仿宋" w:asciiTheme="minorEastAsia" w:hAnsiTheme="minorEastAsia" w:eastAsiaTheme="minorEastAsia"/>
          <w:bCs/>
          <w:szCs w:val="21"/>
        </w:rPr>
        <w:t>日</w:t>
      </w:r>
      <w:r>
        <w:rPr>
          <w:rFonts w:hint="eastAsia" w:cs="仿宋" w:asciiTheme="minorEastAsia" w:hAnsiTheme="minorEastAsia" w:eastAsiaTheme="minorEastAsia"/>
          <w:bCs/>
          <w:szCs w:val="21"/>
          <w:u w:val="single"/>
        </w:rPr>
        <w:t>10</w:t>
      </w:r>
      <w:r>
        <w:rPr>
          <w:rFonts w:hint="eastAsia" w:cs="仿宋" w:asciiTheme="minorEastAsia" w:hAnsiTheme="minorEastAsia" w:eastAsiaTheme="minorEastAsia"/>
          <w:bCs/>
          <w:szCs w:val="21"/>
        </w:rPr>
        <w:t>点</w:t>
      </w:r>
      <w:r>
        <w:rPr>
          <w:rFonts w:hint="eastAsia" w:cs="仿宋" w:asciiTheme="minorEastAsia" w:hAnsiTheme="minorEastAsia" w:eastAsiaTheme="minorEastAsia"/>
          <w:bCs/>
          <w:szCs w:val="21"/>
          <w:u w:val="single"/>
        </w:rPr>
        <w:t>00</w:t>
      </w:r>
      <w:r>
        <w:rPr>
          <w:rFonts w:hint="eastAsia" w:cs="仿宋" w:asciiTheme="minorEastAsia" w:hAnsiTheme="minorEastAsia" w:eastAsiaTheme="minorEastAsia"/>
          <w:bCs/>
          <w:szCs w:val="21"/>
        </w:rPr>
        <w:t>分（北京时间）前递交投标文件。</w:t>
      </w:r>
    </w:p>
    <w:p w14:paraId="6605C5F2">
      <w:pPr>
        <w:spacing w:line="360" w:lineRule="auto"/>
        <w:rPr>
          <w:rFonts w:cs="仿宋" w:asciiTheme="minorEastAsia" w:hAnsiTheme="minorEastAsia" w:eastAsiaTheme="minorEastAsia"/>
          <w:b/>
          <w:bCs/>
          <w:szCs w:val="21"/>
        </w:rPr>
      </w:pPr>
    </w:p>
    <w:p w14:paraId="1A96E060">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二、项目基本情况</w:t>
      </w:r>
    </w:p>
    <w:p w14:paraId="6A3EB3DD">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1、项目编号：SZZZ2024-QC0379</w:t>
      </w:r>
    </w:p>
    <w:p w14:paraId="7FDA923B">
      <w:pPr>
        <w:keepNext w:val="0"/>
        <w:keepLines w:val="0"/>
        <w:pageBreakBefore w:val="0"/>
        <w:widowControl w:val="0"/>
        <w:kinsoku/>
        <w:wordWrap/>
        <w:overflowPunct/>
        <w:topLinePunct w:val="0"/>
        <w:autoSpaceDE/>
        <w:autoSpaceDN/>
        <w:bidi w:val="0"/>
        <w:adjustRightInd/>
        <w:snapToGrid/>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2、项目名称：警训支队布草洗涤服务采购项目</w:t>
      </w:r>
    </w:p>
    <w:p w14:paraId="2A2C89D9">
      <w:pPr>
        <w:pStyle w:val="2"/>
        <w:keepNext w:val="0"/>
        <w:keepLines w:val="0"/>
        <w:pageBreakBefore w:val="0"/>
        <w:widowControl w:val="0"/>
        <w:kinsoku/>
        <w:wordWrap/>
        <w:overflowPunct/>
        <w:topLinePunct w:val="0"/>
        <w:autoSpaceDE/>
        <w:autoSpaceDN/>
        <w:bidi w:val="0"/>
        <w:adjustRightInd/>
        <w:snapToGrid/>
        <w:spacing w:after="0" w:line="360" w:lineRule="auto"/>
        <w:ind w:firstLine="369" w:firstLineChars="176"/>
        <w:textAlignment w:val="auto"/>
        <w:rPr>
          <w:rFonts w:hint="default" w:eastAsia="宋体"/>
          <w:lang w:val="en-US" w:eastAsia="zh-CN"/>
        </w:rPr>
      </w:pPr>
      <w:r>
        <w:rPr>
          <w:rFonts w:hint="eastAsia" w:cs="仿宋" w:asciiTheme="minorEastAsia" w:hAnsiTheme="minorEastAsia" w:eastAsiaTheme="minorEastAsia"/>
          <w:bCs/>
          <w:szCs w:val="21"/>
          <w:lang w:val="en-US" w:eastAsia="zh-CN"/>
        </w:rPr>
        <w:t>3、</w:t>
      </w:r>
      <w:r>
        <w:rPr>
          <w:rFonts w:hint="eastAsia"/>
          <w:lang w:val="en-US" w:eastAsia="zh-CN"/>
        </w:rPr>
        <w:t>服务属性：选涤社会化服务</w:t>
      </w:r>
      <w:r>
        <w:rPr>
          <w:rFonts w:hint="eastAsia" w:ascii="宋体" w:hAnsi="宋体" w:eastAsia="宋体" w:cs="宋体"/>
          <w:lang w:val="en-US" w:eastAsia="zh-CN"/>
        </w:rPr>
        <w:t>，编号：B110704</w:t>
      </w:r>
    </w:p>
    <w:p w14:paraId="54678F74">
      <w:pPr>
        <w:keepNext w:val="0"/>
        <w:keepLines w:val="0"/>
        <w:pageBreakBefore w:val="0"/>
        <w:widowControl w:val="0"/>
        <w:kinsoku/>
        <w:wordWrap/>
        <w:overflowPunct/>
        <w:topLinePunct w:val="0"/>
        <w:autoSpaceDE/>
        <w:autoSpaceDN/>
        <w:bidi w:val="0"/>
        <w:adjustRightInd/>
        <w:snapToGrid/>
        <w:spacing w:line="360" w:lineRule="auto"/>
        <w:ind w:firstLine="371" w:firstLineChars="177"/>
        <w:textAlignment w:val="auto"/>
        <w:rPr>
          <w:rFonts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4</w:t>
      </w:r>
      <w:r>
        <w:rPr>
          <w:rFonts w:hint="eastAsia" w:cs="仿宋" w:asciiTheme="minorEastAsia" w:hAnsiTheme="minorEastAsia" w:eastAsiaTheme="minorEastAsia"/>
          <w:bCs/>
          <w:szCs w:val="21"/>
        </w:rPr>
        <w:t>、预算金额：人民币200,000.00元</w:t>
      </w:r>
    </w:p>
    <w:p w14:paraId="346DFAC8">
      <w:pPr>
        <w:keepNext w:val="0"/>
        <w:keepLines w:val="0"/>
        <w:pageBreakBefore w:val="0"/>
        <w:widowControl w:val="0"/>
        <w:kinsoku/>
        <w:wordWrap/>
        <w:overflowPunct/>
        <w:topLinePunct w:val="0"/>
        <w:autoSpaceDE/>
        <w:autoSpaceDN/>
        <w:bidi w:val="0"/>
        <w:adjustRightInd/>
        <w:snapToGrid/>
        <w:spacing w:line="360" w:lineRule="auto"/>
        <w:ind w:firstLine="371" w:firstLineChars="177"/>
        <w:textAlignment w:val="auto"/>
        <w:rPr>
          <w:rFonts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5</w:t>
      </w:r>
      <w:r>
        <w:rPr>
          <w:rFonts w:hint="eastAsia" w:cs="仿宋" w:asciiTheme="minorEastAsia" w:hAnsiTheme="minorEastAsia" w:eastAsiaTheme="minorEastAsia"/>
          <w:bCs/>
          <w:szCs w:val="21"/>
        </w:rPr>
        <w:t>、最高限价：人民币200,000.00元</w:t>
      </w:r>
    </w:p>
    <w:p w14:paraId="1CD1A802">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6</w:t>
      </w:r>
      <w:r>
        <w:rPr>
          <w:rFonts w:hint="eastAsia" w:cs="仿宋" w:asciiTheme="minorEastAsia" w:hAnsiTheme="minorEastAsia" w:eastAsiaTheme="minorEastAsia"/>
          <w:bCs/>
          <w:szCs w:val="21"/>
        </w:rPr>
        <w:t>、采购方式：公开征集</w:t>
      </w:r>
    </w:p>
    <w:p w14:paraId="5BEA5F85">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7</w:t>
      </w:r>
      <w:r>
        <w:rPr>
          <w:rFonts w:hint="eastAsia" w:cs="仿宋" w:asciiTheme="minorEastAsia" w:hAnsiTheme="minorEastAsia" w:eastAsiaTheme="minorEastAsia"/>
          <w:bCs/>
          <w:szCs w:val="21"/>
        </w:rPr>
        <w:t>、采购需求：</w:t>
      </w:r>
    </w:p>
    <w:tbl>
      <w:tblPr>
        <w:tblStyle w:val="21"/>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4514"/>
        <w:gridCol w:w="934"/>
        <w:gridCol w:w="2028"/>
      </w:tblGrid>
      <w:tr w14:paraId="736948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shd w:val="clear" w:color="auto" w:fill="C6D9F1"/>
            <w:vAlign w:val="center"/>
          </w:tcPr>
          <w:p w14:paraId="02318CD2">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序号</w:t>
            </w:r>
          </w:p>
        </w:tc>
        <w:tc>
          <w:tcPr>
            <w:tcW w:w="2649" w:type="pct"/>
            <w:shd w:val="clear" w:color="auto" w:fill="C6D9F1"/>
            <w:vAlign w:val="center"/>
          </w:tcPr>
          <w:p w14:paraId="57A966AE">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标的名称</w:t>
            </w:r>
          </w:p>
        </w:tc>
        <w:tc>
          <w:tcPr>
            <w:tcW w:w="548" w:type="pct"/>
            <w:shd w:val="clear" w:color="auto" w:fill="C6D9F1"/>
            <w:vAlign w:val="center"/>
          </w:tcPr>
          <w:p w14:paraId="466EC7A2">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数量</w:t>
            </w:r>
          </w:p>
        </w:tc>
        <w:tc>
          <w:tcPr>
            <w:tcW w:w="1190" w:type="pct"/>
            <w:shd w:val="clear" w:color="auto" w:fill="C6D9F1"/>
            <w:vAlign w:val="center"/>
          </w:tcPr>
          <w:p w14:paraId="3A9C841A">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简要技术需求</w:t>
            </w:r>
          </w:p>
        </w:tc>
      </w:tr>
      <w:tr w14:paraId="13B266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12" w:type="pct"/>
            <w:vAlign w:val="center"/>
          </w:tcPr>
          <w:p w14:paraId="112076F5">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2649" w:type="pct"/>
            <w:vAlign w:val="center"/>
          </w:tcPr>
          <w:p w14:paraId="73E7588A">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警训支队布草洗涤服务采购项目</w:t>
            </w:r>
          </w:p>
        </w:tc>
        <w:tc>
          <w:tcPr>
            <w:tcW w:w="548" w:type="pct"/>
            <w:vAlign w:val="center"/>
          </w:tcPr>
          <w:p w14:paraId="3782082F">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1项</w:t>
            </w:r>
          </w:p>
        </w:tc>
        <w:tc>
          <w:tcPr>
            <w:tcW w:w="1190" w:type="pct"/>
            <w:vAlign w:val="center"/>
          </w:tcPr>
          <w:p w14:paraId="42DFBB75">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详见附件内容</w:t>
            </w:r>
          </w:p>
        </w:tc>
      </w:tr>
    </w:tbl>
    <w:p w14:paraId="226A8557">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8</w:t>
      </w:r>
      <w:r>
        <w:rPr>
          <w:rFonts w:hint="eastAsia" w:cs="仿宋" w:asciiTheme="minorEastAsia" w:hAnsiTheme="minorEastAsia" w:eastAsiaTheme="minorEastAsia"/>
          <w:bCs/>
          <w:szCs w:val="21"/>
        </w:rPr>
        <w:t>、合同履行期限：详见征集文件。</w:t>
      </w:r>
    </w:p>
    <w:p w14:paraId="21C09179">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9</w:t>
      </w:r>
      <w:r>
        <w:rPr>
          <w:rFonts w:hint="eastAsia" w:cs="仿宋" w:asciiTheme="minorEastAsia" w:hAnsiTheme="minorEastAsia" w:eastAsiaTheme="minorEastAsia"/>
          <w:bCs/>
          <w:szCs w:val="21"/>
        </w:rPr>
        <w:t>、是否联合体：本项目不接受联合体投标。</w:t>
      </w:r>
    </w:p>
    <w:p w14:paraId="41F62391">
      <w:pPr>
        <w:spacing w:line="360" w:lineRule="auto"/>
        <w:rPr>
          <w:rFonts w:cs="仿宋" w:asciiTheme="minorEastAsia" w:hAnsiTheme="minorEastAsia" w:eastAsiaTheme="minorEastAsia"/>
          <w:b/>
          <w:bCs/>
          <w:szCs w:val="21"/>
        </w:rPr>
      </w:pPr>
    </w:p>
    <w:p w14:paraId="0B413813">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三、申请人的资格要求</w:t>
      </w:r>
    </w:p>
    <w:p w14:paraId="37F67DD1">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1、须是在中华人民共和国境内注册的法人或其他组织【须提供合法有效的营业执照或法人证书等证明材料的扫描件或复印件加盖投标供应商公章，原件备查。</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投标供应商</w:t>
      </w:r>
      <w:r>
        <w:rPr>
          <w:rFonts w:hint="eastAsia" w:ascii="宋体" w:hAnsi="宋体"/>
          <w:snapToGrid w:val="0"/>
        </w:rPr>
        <w:t>公章，原件备查</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本项目不接受总公司与分支机构同时参与投标，也不接受同一总公司有两个或以上分支机构参与投标，如出现以上情形，该两家或以上投标供应商均按无效投标处理</w:t>
      </w:r>
      <w:r>
        <w:rPr>
          <w:rFonts w:hint="eastAsia" w:cs="仿宋" w:asciiTheme="minorEastAsia" w:hAnsiTheme="minorEastAsia" w:eastAsiaTheme="minorEastAsia"/>
          <w:bCs/>
          <w:szCs w:val="21"/>
        </w:rPr>
        <w:t>】；</w:t>
      </w:r>
    </w:p>
    <w:p w14:paraId="1803C412">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2、参与本项目的投标供应商须满足《中华人民共和国政府采购法》第二十二条规定【由投标供应商按征集文件规定的格式在《承诺函》中作出声明】；</w:t>
      </w:r>
    </w:p>
    <w:p w14:paraId="34E18B8C">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3、参与本项目采购活动前三年内，在经营活动中没有重大违法记录【由投标供应商按征集文件规定的格式在《承诺函》中作出声明】；</w:t>
      </w:r>
    </w:p>
    <w:p w14:paraId="67EEA9B3">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4、参与本项目政府采购活动时不存在被有关部门禁止参与政府采购活动且在有效期内的情况【由投标供应商按征集文件规定的格式在《承诺函》中作出声明】；</w:t>
      </w:r>
    </w:p>
    <w:p w14:paraId="2B8187CB">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5、除单一来源采购项目外，为采购项目提供整体设计、规范编制或者项目管理、监理、检测等服务的供应商，不得再参加该采购项目的其他采购活动【由投标供应商按征集文件规定的格式在《承诺函》中作出声明】；</w:t>
      </w:r>
    </w:p>
    <w:p w14:paraId="7B5B8793">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6、参与本项目政府采购活动不存在与其他采购参加人串通投标，隐瞒真实情况，提供虚假资料等违法违规情形</w:t>
      </w:r>
      <w:r>
        <w:rPr>
          <w:rFonts w:hint="eastAsia" w:asciiTheme="minorEastAsia" w:hAnsiTheme="minorEastAsia" w:eastAsiaTheme="minorEastAsia"/>
          <w:snapToGrid w:val="0"/>
        </w:rPr>
        <w:t>，不存在《深圳市财政局政府采购供应商信用信息管理办法》（深财规〔2023〕3号）列明的严重违法失信行为</w:t>
      </w:r>
      <w:r>
        <w:rPr>
          <w:rFonts w:hint="eastAsia" w:cs="仿宋" w:asciiTheme="minorEastAsia" w:hAnsiTheme="minorEastAsia" w:eastAsiaTheme="minorEastAsia"/>
          <w:bCs/>
          <w:szCs w:val="21"/>
        </w:rPr>
        <w:t>【由投标供应商按征集文件规定的格式在《承诺函》中作出声明】；</w:t>
      </w:r>
    </w:p>
    <w:p w14:paraId="6DFCF481">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7、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供应商信息，投标供应商无需提供证明材料；</w:t>
      </w:r>
    </w:p>
    <w:p w14:paraId="53E8ACFA">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8、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供应商信用信息查询渠道，相关信息以开标当日的查询结果为准。由采购代理机构查询，投标供应商无需提供证明材料】；</w:t>
      </w:r>
    </w:p>
    <w:p w14:paraId="5054E9B8">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9、本项目不接受联合体投标，不允许非法分包或转包；</w:t>
      </w:r>
    </w:p>
    <w:p w14:paraId="1267DA75">
      <w:pPr>
        <w:spacing w:line="360" w:lineRule="auto"/>
        <w:ind w:firstLine="371" w:firstLineChars="177"/>
        <w:rPr>
          <w:rFonts w:cs="仿宋" w:asciiTheme="minorEastAsia" w:hAnsiTheme="minorEastAsia" w:eastAsiaTheme="minorEastAsia"/>
          <w:bCs/>
          <w:szCs w:val="21"/>
        </w:rPr>
      </w:pPr>
      <w:r>
        <w:rPr>
          <w:rFonts w:hint="eastAsia" w:ascii="宋体" w:hAnsi="宋体" w:cs="仿宋"/>
          <w:bCs/>
          <w:szCs w:val="21"/>
        </w:rPr>
        <w:t>10、</w:t>
      </w:r>
      <w:r>
        <w:rPr>
          <w:rFonts w:hint="eastAsia" w:ascii="宋体" w:hAnsi="宋体" w:cs="宋体"/>
          <w:bCs/>
          <w:kern w:val="0"/>
          <w:sz w:val="22"/>
        </w:rPr>
        <w:t>本项目是否专门面向中小企业采购：否。</w:t>
      </w:r>
    </w:p>
    <w:p w14:paraId="493C495F">
      <w:pPr>
        <w:spacing w:line="360" w:lineRule="auto"/>
        <w:ind w:firstLine="371" w:firstLineChars="177"/>
        <w:rPr>
          <w:rFonts w:cs="仿宋" w:asciiTheme="minorEastAsia" w:hAnsiTheme="minorEastAsia" w:eastAsiaTheme="minorEastAsia"/>
          <w:bCs/>
          <w:szCs w:val="21"/>
        </w:rPr>
      </w:pPr>
    </w:p>
    <w:p w14:paraId="661C9C85">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四、获取征集文件</w:t>
      </w:r>
    </w:p>
    <w:p w14:paraId="700765E9">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u w:val="single"/>
        </w:rPr>
        <w:t>2024</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09</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10</w:t>
      </w:r>
      <w:r>
        <w:rPr>
          <w:rFonts w:hint="eastAsia" w:cs="仿宋" w:asciiTheme="minorEastAsia" w:hAnsiTheme="minorEastAsia" w:eastAsiaTheme="minorEastAsia"/>
          <w:b/>
          <w:bCs/>
          <w:szCs w:val="21"/>
        </w:rPr>
        <w:t>日至</w:t>
      </w:r>
      <w:r>
        <w:rPr>
          <w:rFonts w:hint="eastAsia" w:cs="仿宋" w:asciiTheme="minorEastAsia" w:hAnsiTheme="minorEastAsia" w:eastAsiaTheme="minorEastAsia"/>
          <w:b/>
          <w:bCs/>
          <w:szCs w:val="21"/>
          <w:u w:val="single"/>
        </w:rPr>
        <w:t>2024</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09</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18</w:t>
      </w:r>
      <w:r>
        <w:rPr>
          <w:rFonts w:hint="eastAsia" w:cs="仿宋" w:asciiTheme="minorEastAsia" w:hAnsiTheme="minorEastAsia" w:eastAsiaTheme="minorEastAsia"/>
          <w:b/>
          <w:bCs/>
          <w:szCs w:val="21"/>
        </w:rPr>
        <w:t>日</w:t>
      </w:r>
      <w:r>
        <w:rPr>
          <w:rFonts w:hint="eastAsia" w:cs="仿宋" w:asciiTheme="minorEastAsia" w:hAnsiTheme="minorEastAsia" w:eastAsiaTheme="minorEastAsia"/>
          <w:bCs/>
          <w:szCs w:val="21"/>
        </w:rPr>
        <w:t>，每天上午</w:t>
      </w:r>
      <w:r>
        <w:rPr>
          <w:rFonts w:hint="eastAsia" w:cs="仿宋" w:asciiTheme="minorEastAsia" w:hAnsiTheme="minorEastAsia" w:eastAsiaTheme="minorEastAsia"/>
          <w:bCs/>
          <w:szCs w:val="21"/>
          <w:u w:val="single"/>
        </w:rPr>
        <w:t>09</w:t>
      </w:r>
      <w:r>
        <w:rPr>
          <w:rFonts w:hint="eastAsia" w:cs="仿宋" w:asciiTheme="minorEastAsia" w:hAnsiTheme="minorEastAsia" w:eastAsiaTheme="minorEastAsia"/>
          <w:bCs/>
          <w:szCs w:val="21"/>
        </w:rPr>
        <w:t>时至</w:t>
      </w:r>
      <w:r>
        <w:rPr>
          <w:rFonts w:hint="eastAsia" w:cs="仿宋" w:asciiTheme="minorEastAsia" w:hAnsiTheme="minorEastAsia" w:eastAsiaTheme="minorEastAsia"/>
          <w:bCs/>
          <w:szCs w:val="21"/>
          <w:u w:val="single"/>
        </w:rPr>
        <w:t>11</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分，下午</w:t>
      </w:r>
      <w:r>
        <w:rPr>
          <w:rFonts w:hint="eastAsia" w:cs="仿宋" w:asciiTheme="minorEastAsia" w:hAnsiTheme="minorEastAsia" w:eastAsiaTheme="minorEastAsia"/>
          <w:bCs/>
          <w:szCs w:val="21"/>
          <w:u w:val="single"/>
        </w:rPr>
        <w:t>02</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分至</w:t>
      </w:r>
      <w:r>
        <w:rPr>
          <w:rFonts w:hint="eastAsia" w:cs="仿宋" w:asciiTheme="minorEastAsia" w:hAnsiTheme="minorEastAsia" w:eastAsiaTheme="minorEastAsia"/>
          <w:bCs/>
          <w:szCs w:val="21"/>
          <w:u w:val="single"/>
        </w:rPr>
        <w:t>05</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分（北京时间，法定节假日除外）</w:t>
      </w:r>
    </w:p>
    <w:p w14:paraId="714B2666">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2、地点：深圳市福田区民田路171号新华保险大厦903中正招标（中正官网www.szzzt.com）</w:t>
      </w:r>
    </w:p>
    <w:p w14:paraId="24DCDF35">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3、方式：现场获取或线上获取</w:t>
      </w:r>
    </w:p>
    <w:p w14:paraId="424E1BD3">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（1）现场获取：投标供应商按以上时间和地点现场报名和获取征集文件</w:t>
      </w:r>
      <w:r>
        <w:rPr>
          <w:rFonts w:hint="eastAsia" w:ascii="宋体" w:hAnsi="宋体" w:cs="Arial Unicode MS"/>
          <w:snapToGrid w:val="0"/>
          <w:kern w:val="0"/>
          <w:szCs w:val="21"/>
        </w:rPr>
        <w:t>（提供加盖公章的《购买标书登记表》）</w:t>
      </w:r>
      <w:r>
        <w:rPr>
          <w:rFonts w:hint="eastAsia" w:cs="仿宋" w:asciiTheme="minorEastAsia" w:hAnsiTheme="minorEastAsia" w:eastAsiaTheme="minorEastAsia"/>
          <w:bCs/>
          <w:szCs w:val="21"/>
        </w:rPr>
        <w:t>，逾期不予受理。</w:t>
      </w:r>
    </w:p>
    <w:p w14:paraId="73831CA2">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 xml:space="preserve">（2）线上获取：投标供应商通过邮件报名及获取征集文件，报名时间以我司邮箱收件时间为准（我司邮箱：qtszzzzb@163.com），逾期不予受理。需提供以下资料: </w:t>
      </w:r>
      <w:r>
        <w:rPr>
          <w:rFonts w:cs="仿宋" w:asciiTheme="minorEastAsia" w:hAnsiTheme="minorEastAsia" w:eastAsiaTheme="minorEastAsia"/>
          <w:bCs/>
          <w:szCs w:val="21"/>
        </w:rPr>
        <w:fldChar w:fldCharType="begin"/>
      </w:r>
      <w:r>
        <w:rPr>
          <w:rFonts w:cs="仿宋" w:asciiTheme="minorEastAsia" w:hAnsiTheme="minorEastAsia" w:eastAsiaTheme="minorEastAsia"/>
          <w:bCs/>
          <w:szCs w:val="21"/>
        </w:rPr>
        <w:instrText xml:space="preserve"> </w:instrText>
      </w:r>
      <w:r>
        <w:rPr>
          <w:rFonts w:hint="eastAsia" w:cs="仿宋" w:asciiTheme="minorEastAsia" w:hAnsiTheme="minorEastAsia" w:eastAsiaTheme="minorEastAsia"/>
          <w:bCs/>
          <w:szCs w:val="21"/>
        </w:rPr>
        <w:instrText xml:space="preserve">= 1 \* GB3</w:instrText>
      </w:r>
      <w:r>
        <w:rPr>
          <w:rFonts w:cs="仿宋" w:asciiTheme="minorEastAsia" w:hAnsiTheme="minorEastAsia" w:eastAsiaTheme="minorEastAsia"/>
          <w:bCs/>
          <w:szCs w:val="21"/>
        </w:rPr>
        <w:instrText xml:space="preserve"> </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①</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加盖公章的《购买标书登记表》（下载地址：www.szzzt.com 首页“下载中心”）；</w:t>
      </w:r>
      <w:r>
        <w:rPr>
          <w:rFonts w:cs="仿宋" w:asciiTheme="minorEastAsia" w:hAnsiTheme="minorEastAsia" w:eastAsiaTheme="minorEastAsia"/>
          <w:bCs/>
          <w:szCs w:val="21"/>
        </w:rPr>
        <w:fldChar w:fldCharType="begin"/>
      </w:r>
      <w:r>
        <w:rPr>
          <w:rFonts w:cs="仿宋" w:asciiTheme="minorEastAsia" w:hAnsiTheme="minorEastAsia" w:eastAsiaTheme="minorEastAsia"/>
          <w:bCs/>
          <w:szCs w:val="21"/>
        </w:rPr>
        <w:instrText xml:space="preserve"> </w:instrText>
      </w:r>
      <w:r>
        <w:rPr>
          <w:rFonts w:hint="eastAsia" w:cs="仿宋" w:asciiTheme="minorEastAsia" w:hAnsiTheme="minorEastAsia" w:eastAsiaTheme="minorEastAsia"/>
          <w:bCs/>
          <w:szCs w:val="21"/>
        </w:rPr>
        <w:instrText xml:space="preserve">= 2 \* GB3</w:instrText>
      </w:r>
      <w:r>
        <w:rPr>
          <w:rFonts w:cs="仿宋" w:asciiTheme="minorEastAsia" w:hAnsiTheme="minorEastAsia" w:eastAsiaTheme="minorEastAsia"/>
          <w:bCs/>
          <w:szCs w:val="21"/>
        </w:rPr>
        <w:instrText xml:space="preserve"> </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②</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购买征集文件费用的银行转账凭证。</w:t>
      </w:r>
    </w:p>
    <w:p w14:paraId="4942042E">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4、售价：人民币600元，征集文件售后不退。</w:t>
      </w:r>
    </w:p>
    <w:p w14:paraId="0F68987E">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购买征集文件账号信息如下：</w:t>
      </w:r>
    </w:p>
    <w:p w14:paraId="7B29ACE7">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银行账号：03003729353</w:t>
      </w:r>
    </w:p>
    <w:p w14:paraId="6956C563">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开户名称：深圳市中正招标有限公司</w:t>
      </w:r>
    </w:p>
    <w:p w14:paraId="00916D67">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开户银行：上海银行深圳天安支行</w:t>
      </w:r>
    </w:p>
    <w:p w14:paraId="65507A6C">
      <w:pPr>
        <w:spacing w:line="360" w:lineRule="auto"/>
        <w:ind w:firstLine="371" w:firstLineChars="177"/>
        <w:rPr>
          <w:rFonts w:cs="仿宋" w:asciiTheme="minorEastAsia" w:hAnsiTheme="minorEastAsia" w:eastAsiaTheme="minorEastAsia"/>
          <w:bCs/>
          <w:szCs w:val="21"/>
        </w:rPr>
      </w:pPr>
    </w:p>
    <w:p w14:paraId="62163FDE">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五、提交投标文件截止时间、开标时间和地点</w:t>
      </w:r>
    </w:p>
    <w:p w14:paraId="020095A6">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u w:val="single"/>
        </w:rPr>
        <w:t>2024</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09</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19</w:t>
      </w:r>
      <w:r>
        <w:rPr>
          <w:rFonts w:hint="eastAsia" w:cs="仿宋" w:asciiTheme="minorEastAsia" w:hAnsiTheme="minorEastAsia" w:eastAsiaTheme="minorEastAsia"/>
          <w:b/>
          <w:bCs/>
          <w:szCs w:val="21"/>
        </w:rPr>
        <w:t>日</w:t>
      </w:r>
      <w:r>
        <w:rPr>
          <w:rFonts w:hint="eastAsia" w:cs="仿宋" w:asciiTheme="minorEastAsia" w:hAnsiTheme="minorEastAsia" w:eastAsiaTheme="minorEastAsia"/>
          <w:b/>
          <w:bCs/>
          <w:szCs w:val="21"/>
          <w:u w:val="single"/>
        </w:rPr>
        <w:t>10</w:t>
      </w:r>
      <w:r>
        <w:rPr>
          <w:rFonts w:hint="eastAsia" w:cs="仿宋" w:asciiTheme="minorEastAsia" w:hAnsiTheme="minorEastAsia" w:eastAsiaTheme="minorEastAsia"/>
          <w:b/>
          <w:bCs/>
          <w:szCs w:val="21"/>
        </w:rPr>
        <w:t>点</w:t>
      </w:r>
      <w:r>
        <w:rPr>
          <w:rFonts w:hint="eastAsia" w:cs="仿宋" w:asciiTheme="minorEastAsia" w:hAnsiTheme="minorEastAsia" w:eastAsiaTheme="minorEastAsia"/>
          <w:b/>
          <w:bCs/>
          <w:szCs w:val="21"/>
          <w:u w:val="single"/>
        </w:rPr>
        <w:t>00</w:t>
      </w:r>
      <w:r>
        <w:rPr>
          <w:rFonts w:hint="eastAsia" w:cs="仿宋" w:asciiTheme="minorEastAsia" w:hAnsiTheme="minorEastAsia" w:eastAsiaTheme="minorEastAsia"/>
          <w:b/>
          <w:bCs/>
          <w:szCs w:val="21"/>
        </w:rPr>
        <w:t>分</w:t>
      </w:r>
      <w:r>
        <w:rPr>
          <w:rFonts w:hint="eastAsia" w:cs="仿宋" w:asciiTheme="minorEastAsia" w:hAnsiTheme="minorEastAsia" w:eastAsiaTheme="minorEastAsia"/>
          <w:bCs/>
          <w:szCs w:val="21"/>
        </w:rPr>
        <w:t>（北京时间）</w:t>
      </w:r>
    </w:p>
    <w:p w14:paraId="4C91AA08">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w:t>
      </w:r>
    </w:p>
    <w:p w14:paraId="3FE2CCEE">
      <w:pPr>
        <w:spacing w:line="360" w:lineRule="auto"/>
        <w:rPr>
          <w:rFonts w:cs="仿宋" w:asciiTheme="minorEastAsia" w:hAnsiTheme="minorEastAsia" w:eastAsiaTheme="minorEastAsia"/>
          <w:bCs/>
          <w:szCs w:val="21"/>
        </w:rPr>
      </w:pPr>
    </w:p>
    <w:p w14:paraId="47D83584">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六、公告期限</w:t>
      </w:r>
    </w:p>
    <w:p w14:paraId="0231733E">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自本公告发布之日起5个工作日</w:t>
      </w:r>
    </w:p>
    <w:p w14:paraId="352DA4BC">
      <w:pPr>
        <w:spacing w:line="360" w:lineRule="auto"/>
        <w:rPr>
          <w:rFonts w:cs="仿宋" w:asciiTheme="minorEastAsia" w:hAnsiTheme="minorEastAsia" w:eastAsiaTheme="minorEastAsia"/>
          <w:bCs/>
          <w:szCs w:val="21"/>
        </w:rPr>
      </w:pPr>
    </w:p>
    <w:p w14:paraId="6671AFAC">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七、其他补充事宜</w:t>
      </w:r>
    </w:p>
    <w:p w14:paraId="02EBA1AE">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本项目需要落实的政府采购政策：《财政部工业和信息化部关于印发《政府采购促进中小企业发展管理办法》的通知》(财库〔2020〕46号)、《关于政府采购支持监狱企业发展有关问题的通知》(财库〔2014〕68号)、《关于促进残疾人就业政府采购政策的通知》（财库〔2017〕141号)。</w:t>
      </w:r>
    </w:p>
    <w:p w14:paraId="32EB1A36">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2、本项目相关公告在以下媒体发布：</w:t>
      </w:r>
    </w:p>
    <w:p w14:paraId="5389EB89">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① 深圳公共资源交易中心网（www.szzfcg.cn）</w:t>
      </w:r>
    </w:p>
    <w:p w14:paraId="420EEE88">
      <w:pPr>
        <w:spacing w:line="360" w:lineRule="auto"/>
        <w:ind w:firstLine="371" w:firstLineChars="177"/>
        <w:rPr>
          <w:rFonts w:cs="仿宋" w:asciiTheme="minorEastAsia" w:hAnsiTheme="minorEastAsia" w:eastAsiaTheme="minorEastAsia"/>
          <w:bCs/>
          <w:szCs w:val="21"/>
        </w:rPr>
      </w:pPr>
      <w:r>
        <w:rPr>
          <w:rFonts w:cs="仿宋" w:asciiTheme="minorEastAsia" w:hAnsiTheme="minorEastAsia" w:eastAsiaTheme="minorEastAsia"/>
          <w:bCs/>
          <w:szCs w:val="21"/>
        </w:rPr>
        <w:fldChar w:fldCharType="begin"/>
      </w:r>
      <w:r>
        <w:rPr>
          <w:rFonts w:cs="仿宋" w:asciiTheme="minorEastAsia" w:hAnsiTheme="minorEastAsia" w:eastAsiaTheme="minorEastAsia"/>
          <w:bCs/>
          <w:szCs w:val="21"/>
        </w:rPr>
        <w:instrText xml:space="preserve"> </w:instrText>
      </w:r>
      <w:r>
        <w:rPr>
          <w:rFonts w:hint="eastAsia" w:cs="仿宋" w:asciiTheme="minorEastAsia" w:hAnsiTheme="minorEastAsia" w:eastAsiaTheme="minorEastAsia"/>
          <w:bCs/>
          <w:szCs w:val="21"/>
        </w:rPr>
        <w:instrText xml:space="preserve">= 2 \* GB3</w:instrText>
      </w:r>
      <w:r>
        <w:rPr>
          <w:rFonts w:cs="仿宋" w:asciiTheme="minorEastAsia" w:hAnsiTheme="minorEastAsia" w:eastAsiaTheme="minorEastAsia"/>
          <w:bCs/>
          <w:szCs w:val="21"/>
        </w:rPr>
        <w:instrText xml:space="preserve"> </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②</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 xml:space="preserve"> 采购代理机构网站（www.szzzt.com）</w:t>
      </w:r>
    </w:p>
    <w:p w14:paraId="5167A474">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相关公告在以上媒体上公布之日即视为有效送达，不再另行通知。</w:t>
      </w:r>
    </w:p>
    <w:p w14:paraId="03A02072">
      <w:pPr>
        <w:pStyle w:val="47"/>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rPr>
      </w:pPr>
      <w:r>
        <w:rPr>
          <w:rFonts w:hint="eastAsia" w:ascii="宋体" w:hAnsi="宋体" w:eastAsia="宋体"/>
          <w:bCs/>
          <w:snapToGrid w:val="0"/>
          <w:color w:val="auto"/>
          <w:sz w:val="21"/>
          <w:szCs w:val="21"/>
        </w:rPr>
        <w:t>3、供应商如认为采购文件存在限制性、倾向性、其权益受到损害，应在采购文件公布之日起七个工作日内以书面形式提出质疑。请质疑供应商根据深圳公共资源交易网（https://www.szggzy.com/fwdh/fwdhzfcg/bszn1/content_203163.html）所发布的质疑指引、质疑函模板填写质疑函并提交质疑材料。质疑材料可以采用现场或邮寄方式提交，采用邮寄方式提交的，交邮时间应在本公告发布之日起七个工作日内。质疑材料现场提交、邮寄地址：深圳市福田区民田路171号新华保险大厦903深圳市中正招标有限公司。质疑咨询电话：0755-83026699。根据《深圳经济特区政府采购条例》第四十二条“供应商投诉的事项应当是经过质疑的事项”的规定，未经正式质疑的，将影响供应商行使向财政部门提起投诉的权利。</w:t>
      </w:r>
    </w:p>
    <w:p w14:paraId="71D98E9A">
      <w:pPr>
        <w:pStyle w:val="47"/>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4、本项目投标供应商可以通过快递方式在提交投标文件截止时间前将投标文件邮寄至我司（邮寄地址：深圳市福田区民田路171号新华保险大厦903中正招标），送达时间以我司工作人员签收时间为准。快递箱封面需用A4纸清晰标注项目名称、项目编号和投标供应商名称；投标供应商自行承担因寄错地址、逾期送达、未按照征集文件要求密封或者邮寄过程中出现包装密封破损等可能导致投标无效情形的责任与后果。投标供应商未参加开标会的，视同认可开标结果。</w:t>
      </w:r>
    </w:p>
    <w:p w14:paraId="00EA46DE">
      <w:pPr>
        <w:spacing w:line="360" w:lineRule="auto"/>
        <w:rPr>
          <w:rFonts w:cs="仿宋" w:asciiTheme="minorEastAsia" w:hAnsiTheme="minorEastAsia" w:eastAsiaTheme="minorEastAsia"/>
          <w:bCs/>
          <w:szCs w:val="21"/>
        </w:rPr>
      </w:pPr>
    </w:p>
    <w:p w14:paraId="5EEBBDD6">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八、本项目联系方式</w:t>
      </w:r>
    </w:p>
    <w:p w14:paraId="24B26D3A">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1、采购人信息</w:t>
      </w:r>
    </w:p>
    <w:p w14:paraId="604A6E35">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名　    称：深圳市公安局警察机动训练支队</w:t>
      </w:r>
    </w:p>
    <w:p w14:paraId="3099A8D0">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2、采购代理机构信息</w:t>
      </w:r>
    </w:p>
    <w:p w14:paraId="52D692D4">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名　   称：深圳市中正招标有限公司</w:t>
      </w:r>
    </w:p>
    <w:p w14:paraId="6C614815">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地　   址：深圳市福田区民田路171号新华保险大厦903</w:t>
      </w:r>
    </w:p>
    <w:p w14:paraId="28D4A1F4">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联系 方式：李工，0755-83026699</w:t>
      </w:r>
    </w:p>
    <w:p w14:paraId="2AE309A7">
      <w:pPr>
        <w:spacing w:line="360" w:lineRule="auto"/>
        <w:jc w:val="left"/>
        <w:rPr>
          <w:rFonts w:cs="仿宋" w:asciiTheme="minorEastAsia" w:hAnsiTheme="minorEastAsia" w:eastAsiaTheme="minorEastAsia"/>
          <w:b/>
          <w:bCs/>
          <w:szCs w:val="21"/>
        </w:rPr>
      </w:pPr>
    </w:p>
    <w:p w14:paraId="54AA99E7">
      <w:pPr>
        <w:spacing w:line="360" w:lineRule="auto"/>
        <w:jc w:val="left"/>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九、附件</w:t>
      </w:r>
    </w:p>
    <w:p w14:paraId="2848C572">
      <w:pPr>
        <w:spacing w:line="360" w:lineRule="auto"/>
        <w:ind w:firstLine="411" w:firstLineChars="196"/>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征集文件</w:t>
      </w:r>
    </w:p>
    <w:p w14:paraId="1A227352">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（附件内容请登陆采购代理机构官网下载查阅）</w:t>
      </w:r>
    </w:p>
    <w:p w14:paraId="55197C88">
      <w:pPr>
        <w:spacing w:line="360" w:lineRule="auto"/>
        <w:rPr>
          <w:rFonts w:cs="仿宋" w:asciiTheme="minorEastAsia" w:hAnsiTheme="minorEastAsia" w:eastAsiaTheme="minorEastAsia"/>
          <w:bCs/>
          <w:szCs w:val="21"/>
        </w:rPr>
      </w:pPr>
    </w:p>
    <w:p w14:paraId="5F888BA1">
      <w:pPr>
        <w:spacing w:line="360" w:lineRule="auto"/>
        <w:ind w:firstLine="743" w:firstLineChars="354"/>
        <w:jc w:val="right"/>
        <w:rPr>
          <w:rFonts w:cs="仿宋" w:asciiTheme="minorEastAsia" w:hAnsiTheme="minorEastAsia" w:eastAsiaTheme="minorEastAsia"/>
          <w:bCs/>
          <w:szCs w:val="21"/>
        </w:rPr>
      </w:pPr>
      <w:r>
        <w:rPr>
          <w:rFonts w:hint="eastAsia" w:cs="仿宋" w:asciiTheme="minorEastAsia" w:hAnsiTheme="minorEastAsia" w:eastAsiaTheme="minorEastAsia"/>
          <w:bCs/>
          <w:szCs w:val="21"/>
        </w:rPr>
        <w:t>深圳市中正招标有限公司</w:t>
      </w:r>
    </w:p>
    <w:p w14:paraId="674D0BBD">
      <w:pPr>
        <w:spacing w:line="360" w:lineRule="auto"/>
        <w:ind w:firstLine="743" w:firstLineChars="354"/>
        <w:jc w:val="right"/>
        <w:rPr>
          <w:rFonts w:cs="仿宋" w:asciiTheme="minorEastAsia" w:hAnsiTheme="minorEastAsia" w:eastAsiaTheme="minorEastAsia"/>
          <w:bCs/>
          <w:szCs w:val="21"/>
        </w:rPr>
      </w:pPr>
      <w:r>
        <w:rPr>
          <w:rFonts w:hint="eastAsia" w:cs="仿宋" w:asciiTheme="minorEastAsia" w:hAnsiTheme="minorEastAsia" w:eastAsiaTheme="minorEastAsia"/>
          <w:bCs/>
          <w:szCs w:val="21"/>
        </w:rPr>
        <w:t>2024年</w:t>
      </w:r>
      <w:r>
        <w:rPr>
          <w:rFonts w:hint="eastAsia" w:cs="仿宋" w:asciiTheme="minorEastAsia" w:hAnsiTheme="minorEastAsia" w:eastAsiaTheme="minorEastAsia"/>
          <w:bCs/>
          <w:szCs w:val="21"/>
          <w:lang w:val="en-US" w:eastAsia="zh-CN"/>
        </w:rPr>
        <w:t>09</w:t>
      </w:r>
      <w:r>
        <w:rPr>
          <w:rFonts w:hint="eastAsia" w:cs="仿宋" w:asciiTheme="minorEastAsia" w:hAnsiTheme="minorEastAsia" w:eastAsiaTheme="minorEastAsia"/>
          <w:bCs/>
          <w:szCs w:val="21"/>
        </w:rPr>
        <w:t>月</w:t>
      </w:r>
      <w:r>
        <w:rPr>
          <w:rFonts w:hint="eastAsia" w:cs="仿宋" w:asciiTheme="minorEastAsia" w:hAnsiTheme="minorEastAsia" w:eastAsiaTheme="minorEastAsia"/>
          <w:bCs/>
          <w:szCs w:val="21"/>
          <w:lang w:val="en-US" w:eastAsia="zh-CN"/>
        </w:rPr>
        <w:t>10</w:t>
      </w:r>
      <w:r>
        <w:rPr>
          <w:rFonts w:hint="eastAsia" w:cs="仿宋" w:asciiTheme="minorEastAsia" w:hAnsiTheme="minorEastAsia" w:eastAsiaTheme="minorEastAsia"/>
          <w:bCs/>
          <w:szCs w:val="21"/>
        </w:rPr>
        <w:t>日</w:t>
      </w:r>
    </w:p>
    <w:p w14:paraId="3869B5CD">
      <w:pPr>
        <w:rPr>
          <w:rFonts w:cs="仿宋" w:asciiTheme="minorEastAsia" w:hAnsiTheme="minorEastAsia" w:eastAsiaTheme="minorEastAsia"/>
        </w:rPr>
      </w:pPr>
    </w:p>
    <w:p w14:paraId="7410065C">
      <w:pPr>
        <w:rPr>
          <w:rFonts w:cs="仿宋" w:asciiTheme="minorEastAsia" w:hAnsiTheme="minorEastAsia" w:eastAsiaTheme="minorEastAsia"/>
        </w:rPr>
      </w:pPr>
    </w:p>
    <w:p w14:paraId="62ADBD1A">
      <w:pPr>
        <w:rPr>
          <w:rFonts w:cs="仿宋" w:asciiTheme="minorEastAsia" w:hAnsiTheme="minorEastAsia" w:eastAsiaTheme="minorEastAsia"/>
        </w:rPr>
      </w:pPr>
    </w:p>
    <w:p w14:paraId="7F425ABC">
      <w:pPr>
        <w:rPr>
          <w:rFonts w:cs="仿宋" w:asciiTheme="minorEastAsia" w:hAnsiTheme="minorEastAsia" w:eastAsiaTheme="minorEastAsia"/>
        </w:rPr>
      </w:pPr>
    </w:p>
    <w:p w14:paraId="54DEFCF9">
      <w:pPr>
        <w:rPr>
          <w:rFonts w:cs="仿宋" w:asciiTheme="minorEastAsia" w:hAnsiTheme="minorEastAsia" w:eastAsiaTheme="minorEastAsia"/>
        </w:rPr>
      </w:pPr>
    </w:p>
    <w:p w14:paraId="1F66F06C">
      <w:pPr>
        <w:rPr>
          <w:rFonts w:cs="仿宋" w:asciiTheme="minorEastAsia" w:hAnsiTheme="minorEastAsia" w:eastAsiaTheme="minorEastAsia"/>
        </w:rPr>
      </w:pPr>
    </w:p>
    <w:p w14:paraId="36B4DB18">
      <w:pPr>
        <w:rPr>
          <w:rFonts w:cs="仿宋" w:asciiTheme="minorEastAsia" w:hAnsiTheme="minorEastAsia" w:eastAsiaTheme="minorEastAsia"/>
        </w:rPr>
      </w:pPr>
    </w:p>
    <w:p w14:paraId="6E84EC1D">
      <w:pPr>
        <w:rPr>
          <w:rFonts w:cs="仿宋" w:asciiTheme="minorEastAsia" w:hAnsiTheme="minorEastAsia" w:eastAsiaTheme="minorEastAsia"/>
        </w:rPr>
      </w:pPr>
    </w:p>
    <w:p w14:paraId="279C272D">
      <w:pPr>
        <w:rPr>
          <w:rFonts w:cs="仿宋" w:asciiTheme="minorEastAsia" w:hAnsiTheme="minorEastAsia" w:eastAsiaTheme="minorEastAsia"/>
        </w:rPr>
      </w:pPr>
    </w:p>
    <w:p w14:paraId="72ADA85C">
      <w:pPr>
        <w:rPr>
          <w:rFonts w:cs="仿宋" w:asciiTheme="minorEastAsia" w:hAnsiTheme="minorEastAsia" w:eastAsiaTheme="minorEastAsia"/>
        </w:rPr>
      </w:pPr>
    </w:p>
    <w:p w14:paraId="73D62711">
      <w:pPr>
        <w:rPr>
          <w:rFonts w:cs="仿宋" w:asciiTheme="minorEastAsia" w:hAnsiTheme="minorEastAsia" w:eastAsiaTheme="minorEastAsia"/>
        </w:rPr>
      </w:pPr>
    </w:p>
    <w:p w14:paraId="51D52A7E">
      <w:pPr>
        <w:rPr>
          <w:rFonts w:cs="仿宋" w:asciiTheme="minorEastAsia" w:hAnsiTheme="minorEastAsia" w:eastAsiaTheme="minorEastAsia"/>
        </w:rPr>
      </w:pPr>
    </w:p>
    <w:p w14:paraId="2EA8DF3E">
      <w:pPr>
        <w:rPr>
          <w:rFonts w:cs="仿宋" w:asciiTheme="minorEastAsia" w:hAnsiTheme="minorEastAsia" w:eastAsiaTheme="minorEastAsia"/>
        </w:rPr>
      </w:pPr>
    </w:p>
    <w:p w14:paraId="32F85BD1">
      <w:pPr>
        <w:rPr>
          <w:rFonts w:cs="仿宋" w:asciiTheme="minorEastAsia" w:hAnsiTheme="minorEastAsia" w:eastAsiaTheme="minorEastAsia"/>
        </w:rPr>
      </w:pPr>
    </w:p>
    <w:p w14:paraId="35878153">
      <w:pPr>
        <w:rPr>
          <w:rFonts w:cs="仿宋" w:asciiTheme="minorEastAsia" w:hAnsiTheme="minorEastAsia" w:eastAsiaTheme="minorEastAsia"/>
        </w:rPr>
      </w:pPr>
    </w:p>
    <w:p w14:paraId="0EA88DE0">
      <w:pPr>
        <w:adjustRightInd w:val="0"/>
        <w:snapToGrid w:val="0"/>
        <w:spacing w:line="300" w:lineRule="auto"/>
        <w:jc w:val="center"/>
        <w:rPr>
          <w:rFonts w:cs="仿宋" w:asciiTheme="minorEastAsia" w:hAnsiTheme="minorEastAsia" w:eastAsiaTheme="minorEastAsia"/>
          <w:b/>
          <w:snapToGrid w:val="0"/>
          <w:kern w:val="0"/>
          <w:sz w:val="56"/>
          <w:szCs w:val="96"/>
        </w:rPr>
      </w:pPr>
    </w:p>
    <w:p w14:paraId="30B61D65">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第一部分</w:t>
      </w:r>
    </w:p>
    <w:p w14:paraId="64571DF3">
      <w:pPr>
        <w:spacing w:line="36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投标须知前附表及评审信息</w:t>
      </w:r>
    </w:p>
    <w:p w14:paraId="43D58FFC">
      <w:pPr>
        <w:widowControl/>
        <w:jc w:val="left"/>
        <w:rPr>
          <w:rFonts w:cs="仿宋" w:asciiTheme="minorEastAsia" w:hAnsiTheme="minorEastAsia" w:eastAsiaTheme="minorEastAsia"/>
          <w:b/>
          <w:snapToGrid w:val="0"/>
          <w:kern w:val="0"/>
          <w:sz w:val="72"/>
        </w:rPr>
      </w:pPr>
      <w:r>
        <w:rPr>
          <w:rFonts w:hint="eastAsia" w:cs="仿宋" w:asciiTheme="minorEastAsia" w:hAnsiTheme="minorEastAsia" w:eastAsiaTheme="minorEastAsia"/>
          <w:b/>
          <w:snapToGrid w:val="0"/>
          <w:kern w:val="0"/>
          <w:sz w:val="72"/>
        </w:rPr>
        <w:br w:type="page"/>
      </w:r>
    </w:p>
    <w:p w14:paraId="4FC8AC00">
      <w:pPr>
        <w:spacing w:line="360" w:lineRule="auto"/>
        <w:jc w:val="center"/>
        <w:rPr>
          <w:rFonts w:cs="仿宋" w:asciiTheme="minorEastAsia" w:hAnsiTheme="minorEastAsia" w:eastAsiaTheme="minorEastAsia"/>
          <w:b/>
          <w:bCs/>
          <w:sz w:val="36"/>
        </w:rPr>
      </w:pPr>
      <w:r>
        <w:rPr>
          <w:rFonts w:hint="eastAsia" w:cs="仿宋" w:asciiTheme="minorEastAsia" w:hAnsiTheme="minorEastAsia" w:eastAsiaTheme="minorEastAsia"/>
          <w:b/>
          <w:bCs/>
          <w:sz w:val="36"/>
        </w:rPr>
        <w:t>投标须知前附表</w:t>
      </w:r>
    </w:p>
    <w:tbl>
      <w:tblPr>
        <w:tblStyle w:val="21"/>
        <w:tblW w:w="92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50"/>
        <w:gridCol w:w="2376"/>
        <w:gridCol w:w="5278"/>
      </w:tblGrid>
      <w:tr w14:paraId="5FDC9E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66" w:type="dxa"/>
            <w:tcBorders>
              <w:top w:val="double" w:color="auto" w:sz="4" w:space="0"/>
              <w:bottom w:val="single" w:color="auto" w:sz="4" w:space="0"/>
            </w:tcBorders>
            <w:shd w:val="clear" w:color="auto" w:fill="C6D9F0"/>
            <w:vAlign w:val="center"/>
          </w:tcPr>
          <w:p w14:paraId="50D23C3E">
            <w:pPr>
              <w:spacing w:line="360" w:lineRule="auto"/>
              <w:jc w:val="center"/>
              <w:rPr>
                <w:rFonts w:ascii="宋体" w:hAnsi="宋体" w:cs="宋体"/>
                <w:b/>
              </w:rPr>
            </w:pPr>
            <w:r>
              <w:rPr>
                <w:rFonts w:hint="eastAsia" w:ascii="宋体" w:hAnsi="宋体" w:cs="宋体"/>
                <w:b/>
              </w:rPr>
              <w:t>项号</w:t>
            </w:r>
          </w:p>
        </w:tc>
        <w:tc>
          <w:tcPr>
            <w:tcW w:w="850" w:type="dxa"/>
            <w:tcBorders>
              <w:top w:val="double" w:color="auto" w:sz="4" w:space="0"/>
              <w:bottom w:val="single" w:color="auto" w:sz="4" w:space="0"/>
            </w:tcBorders>
            <w:shd w:val="clear" w:color="auto" w:fill="C6D9F0"/>
            <w:vAlign w:val="center"/>
          </w:tcPr>
          <w:p w14:paraId="72FDE198">
            <w:pPr>
              <w:spacing w:line="360" w:lineRule="auto"/>
              <w:jc w:val="center"/>
              <w:rPr>
                <w:rFonts w:ascii="宋体" w:hAnsi="宋体" w:cs="宋体"/>
                <w:b/>
              </w:rPr>
            </w:pPr>
            <w:r>
              <w:rPr>
                <w:rFonts w:hint="eastAsia" w:ascii="宋体" w:hAnsi="宋体" w:cs="宋体"/>
                <w:b/>
              </w:rPr>
              <w:t>条款号</w:t>
            </w:r>
          </w:p>
        </w:tc>
        <w:tc>
          <w:tcPr>
            <w:tcW w:w="2376" w:type="dxa"/>
            <w:tcBorders>
              <w:top w:val="double" w:color="auto" w:sz="4" w:space="0"/>
              <w:bottom w:val="single" w:color="auto" w:sz="4" w:space="0"/>
            </w:tcBorders>
            <w:shd w:val="clear" w:color="auto" w:fill="C6D9F0"/>
            <w:vAlign w:val="center"/>
          </w:tcPr>
          <w:p w14:paraId="2F338B61">
            <w:pPr>
              <w:spacing w:line="360" w:lineRule="auto"/>
              <w:jc w:val="center"/>
              <w:rPr>
                <w:rFonts w:ascii="宋体" w:hAnsi="宋体" w:cs="宋体"/>
                <w:b/>
              </w:rPr>
            </w:pPr>
            <w:r>
              <w:rPr>
                <w:rFonts w:hint="eastAsia" w:ascii="宋体" w:hAnsi="宋体" w:cs="宋体"/>
                <w:b/>
              </w:rPr>
              <w:t>内容</w:t>
            </w:r>
          </w:p>
        </w:tc>
        <w:tc>
          <w:tcPr>
            <w:tcW w:w="5278" w:type="dxa"/>
            <w:tcBorders>
              <w:top w:val="double" w:color="auto" w:sz="4" w:space="0"/>
              <w:bottom w:val="single" w:color="auto" w:sz="4" w:space="0"/>
            </w:tcBorders>
            <w:shd w:val="clear" w:color="auto" w:fill="C6D9F0"/>
            <w:vAlign w:val="center"/>
          </w:tcPr>
          <w:p w14:paraId="4DC80DC1">
            <w:pPr>
              <w:spacing w:line="360" w:lineRule="auto"/>
              <w:jc w:val="center"/>
              <w:rPr>
                <w:rFonts w:ascii="宋体" w:hAnsi="宋体" w:cs="宋体"/>
                <w:b/>
              </w:rPr>
            </w:pPr>
            <w:r>
              <w:rPr>
                <w:rFonts w:hint="eastAsia" w:ascii="宋体" w:hAnsi="宋体" w:cs="宋体"/>
                <w:b/>
              </w:rPr>
              <w:t>内容规定</w:t>
            </w:r>
          </w:p>
        </w:tc>
      </w:tr>
      <w:tr w14:paraId="41F30B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tcBorders>
              <w:top w:val="single" w:color="auto" w:sz="4" w:space="0"/>
            </w:tcBorders>
            <w:vAlign w:val="center"/>
          </w:tcPr>
          <w:p w14:paraId="71AEDC4D">
            <w:pPr>
              <w:spacing w:line="360" w:lineRule="auto"/>
              <w:jc w:val="center"/>
              <w:rPr>
                <w:rFonts w:ascii="宋体" w:hAnsi="宋体" w:cs="宋体"/>
              </w:rPr>
            </w:pPr>
            <w:r>
              <w:rPr>
                <w:rFonts w:ascii="宋体" w:hAnsi="宋体" w:cs="宋体"/>
              </w:rPr>
              <w:t>1</w:t>
            </w:r>
          </w:p>
        </w:tc>
        <w:tc>
          <w:tcPr>
            <w:tcW w:w="850" w:type="dxa"/>
            <w:tcBorders>
              <w:top w:val="single" w:color="auto" w:sz="4" w:space="0"/>
            </w:tcBorders>
            <w:vAlign w:val="center"/>
          </w:tcPr>
          <w:p w14:paraId="4770D3E8">
            <w:pPr>
              <w:spacing w:line="360" w:lineRule="auto"/>
              <w:jc w:val="center"/>
              <w:rPr>
                <w:rFonts w:ascii="宋体" w:hAnsi="宋体" w:cs="宋体"/>
              </w:rPr>
            </w:pPr>
            <w:r>
              <w:rPr>
                <w:rFonts w:ascii="宋体" w:hAnsi="宋体" w:cs="宋体"/>
              </w:rPr>
              <w:t>1.1</w:t>
            </w:r>
          </w:p>
        </w:tc>
        <w:tc>
          <w:tcPr>
            <w:tcW w:w="2376" w:type="dxa"/>
            <w:tcBorders>
              <w:top w:val="single" w:color="auto" w:sz="4" w:space="0"/>
            </w:tcBorders>
            <w:vAlign w:val="center"/>
          </w:tcPr>
          <w:p w14:paraId="42A87320">
            <w:pPr>
              <w:spacing w:line="360" w:lineRule="auto"/>
              <w:jc w:val="center"/>
              <w:rPr>
                <w:rFonts w:ascii="宋体" w:hAnsi="Courier New" w:cs="宋体"/>
              </w:rPr>
            </w:pPr>
            <w:r>
              <w:rPr>
                <w:rFonts w:hint="eastAsia" w:ascii="宋体" w:hAnsi="Courier New" w:cs="宋体"/>
              </w:rPr>
              <w:t>项目名称</w:t>
            </w:r>
          </w:p>
        </w:tc>
        <w:tc>
          <w:tcPr>
            <w:tcW w:w="5278" w:type="dxa"/>
            <w:tcBorders>
              <w:top w:val="single" w:color="auto" w:sz="4" w:space="0"/>
            </w:tcBorders>
            <w:vAlign w:val="center"/>
          </w:tcPr>
          <w:p w14:paraId="4E4E064A">
            <w:pPr>
              <w:pStyle w:val="13"/>
              <w:spacing w:line="360" w:lineRule="auto"/>
              <w:rPr>
                <w:rFonts w:cs="仿宋" w:asciiTheme="minorEastAsia" w:hAnsiTheme="minorEastAsia"/>
              </w:rPr>
            </w:pPr>
            <w:r>
              <w:rPr>
                <w:rFonts w:hint="eastAsia" w:cs="仿宋" w:asciiTheme="minorEastAsia" w:hAnsiTheme="minorEastAsia"/>
              </w:rPr>
              <w:t>警训支队布草洗涤服务采购项目</w:t>
            </w:r>
          </w:p>
        </w:tc>
      </w:tr>
      <w:tr w14:paraId="79E816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68908CE1">
            <w:pPr>
              <w:spacing w:line="360" w:lineRule="auto"/>
              <w:jc w:val="center"/>
              <w:rPr>
                <w:rFonts w:ascii="宋体" w:hAnsi="宋体" w:cs="宋体"/>
              </w:rPr>
            </w:pPr>
            <w:r>
              <w:rPr>
                <w:rFonts w:hint="eastAsia" w:ascii="宋体" w:hAnsi="宋体" w:cs="宋体"/>
              </w:rPr>
              <w:t>2</w:t>
            </w:r>
          </w:p>
        </w:tc>
        <w:tc>
          <w:tcPr>
            <w:tcW w:w="850" w:type="dxa"/>
            <w:vAlign w:val="center"/>
          </w:tcPr>
          <w:p w14:paraId="7811BB90">
            <w:pPr>
              <w:spacing w:line="360" w:lineRule="auto"/>
              <w:jc w:val="center"/>
              <w:rPr>
                <w:rFonts w:ascii="宋体" w:hAnsi="宋体" w:cs="宋体"/>
              </w:rPr>
            </w:pPr>
            <w:r>
              <w:rPr>
                <w:rFonts w:hint="eastAsia" w:ascii="宋体" w:hAnsi="宋体" w:cs="仿宋"/>
                <w:sz w:val="22"/>
                <w:szCs w:val="24"/>
              </w:rPr>
              <w:t>2.1</w:t>
            </w:r>
          </w:p>
        </w:tc>
        <w:tc>
          <w:tcPr>
            <w:tcW w:w="2376" w:type="dxa"/>
            <w:vAlign w:val="center"/>
          </w:tcPr>
          <w:p w14:paraId="059A0E01">
            <w:pPr>
              <w:spacing w:line="360" w:lineRule="auto"/>
              <w:jc w:val="center"/>
              <w:rPr>
                <w:rFonts w:ascii="宋体" w:hAnsi="宋体" w:cs="宋体"/>
              </w:rPr>
            </w:pPr>
            <w:r>
              <w:rPr>
                <w:rFonts w:hint="eastAsia" w:ascii="宋体" w:hAnsi="宋体" w:cs="宋体"/>
                <w:bCs/>
              </w:rPr>
              <w:t>采购人</w:t>
            </w:r>
            <w:r>
              <w:rPr>
                <w:rFonts w:hint="eastAsia" w:ascii="宋体" w:hAnsi="宋体" w:cs="宋体"/>
              </w:rPr>
              <w:t>名称</w:t>
            </w:r>
          </w:p>
        </w:tc>
        <w:tc>
          <w:tcPr>
            <w:tcW w:w="5278" w:type="dxa"/>
            <w:vAlign w:val="center"/>
          </w:tcPr>
          <w:p w14:paraId="42CCEEE5">
            <w:pPr>
              <w:rPr>
                <w:rFonts w:cs="仿宋" w:asciiTheme="minorEastAsia" w:hAnsiTheme="minorEastAsia" w:eastAsiaTheme="minorEastAsia"/>
              </w:rPr>
            </w:pPr>
            <w:r>
              <w:rPr>
                <w:rFonts w:hint="eastAsia" w:cs="仿宋" w:asciiTheme="minorEastAsia" w:hAnsiTheme="minorEastAsia" w:eastAsiaTheme="minorEastAsia"/>
              </w:rPr>
              <w:t>深圳市公安局警察机动训练支队</w:t>
            </w:r>
          </w:p>
        </w:tc>
      </w:tr>
      <w:tr w14:paraId="519A76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00CF25CB">
            <w:pPr>
              <w:spacing w:line="360" w:lineRule="auto"/>
              <w:jc w:val="center"/>
              <w:rPr>
                <w:rFonts w:ascii="宋体" w:hAnsi="宋体" w:cs="宋体"/>
              </w:rPr>
            </w:pPr>
            <w:r>
              <w:rPr>
                <w:rFonts w:hint="eastAsia" w:ascii="宋体" w:hAnsi="宋体" w:cs="宋体"/>
              </w:rPr>
              <w:t>3</w:t>
            </w:r>
          </w:p>
        </w:tc>
        <w:tc>
          <w:tcPr>
            <w:tcW w:w="850" w:type="dxa"/>
            <w:vAlign w:val="center"/>
          </w:tcPr>
          <w:p w14:paraId="44E2377E">
            <w:pPr>
              <w:spacing w:line="360" w:lineRule="auto"/>
              <w:jc w:val="center"/>
              <w:rPr>
                <w:rFonts w:ascii="宋体" w:hAnsi="宋体" w:cs="宋体"/>
              </w:rPr>
            </w:pPr>
            <w:r>
              <w:rPr>
                <w:rFonts w:hint="eastAsia" w:ascii="宋体" w:hAnsi="宋体" w:cs="仿宋"/>
                <w:sz w:val="22"/>
                <w:szCs w:val="24"/>
              </w:rPr>
              <w:t>2.2</w:t>
            </w:r>
          </w:p>
        </w:tc>
        <w:tc>
          <w:tcPr>
            <w:tcW w:w="2376" w:type="dxa"/>
            <w:vAlign w:val="center"/>
          </w:tcPr>
          <w:p w14:paraId="621C9A13">
            <w:pPr>
              <w:spacing w:line="360" w:lineRule="auto"/>
              <w:jc w:val="center"/>
              <w:rPr>
                <w:rFonts w:ascii="宋体" w:hAnsi="宋体" w:cs="宋体"/>
                <w:bCs/>
              </w:rPr>
            </w:pPr>
            <w:r>
              <w:rPr>
                <w:rFonts w:hint="eastAsia" w:ascii="宋体" w:hAnsi="宋体" w:cs="宋体"/>
                <w:bCs/>
              </w:rPr>
              <w:t>采购代理机构</w:t>
            </w:r>
          </w:p>
        </w:tc>
        <w:tc>
          <w:tcPr>
            <w:tcW w:w="5278" w:type="dxa"/>
            <w:vAlign w:val="center"/>
          </w:tcPr>
          <w:p w14:paraId="596102E1">
            <w:pPr>
              <w:spacing w:line="360" w:lineRule="auto"/>
              <w:rPr>
                <w:rFonts w:ascii="宋体" w:hAnsi="宋体" w:cs="宋体"/>
              </w:rPr>
            </w:pPr>
            <w:r>
              <w:rPr>
                <w:rFonts w:hint="eastAsia" w:ascii="宋体" w:hAnsi="宋体" w:cs="宋体"/>
              </w:rPr>
              <w:t>深圳市中正招标有限公司</w:t>
            </w:r>
          </w:p>
        </w:tc>
      </w:tr>
      <w:tr w14:paraId="3CECA3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69589671">
            <w:pPr>
              <w:spacing w:line="360" w:lineRule="auto"/>
              <w:jc w:val="center"/>
              <w:rPr>
                <w:rFonts w:ascii="宋体" w:hAnsi="宋体" w:cs="宋体"/>
              </w:rPr>
            </w:pPr>
            <w:r>
              <w:rPr>
                <w:rFonts w:hint="eastAsia" w:ascii="宋体" w:hAnsi="宋体" w:cs="宋体"/>
              </w:rPr>
              <w:t>4</w:t>
            </w:r>
          </w:p>
        </w:tc>
        <w:tc>
          <w:tcPr>
            <w:tcW w:w="850" w:type="dxa"/>
            <w:vAlign w:val="center"/>
          </w:tcPr>
          <w:p w14:paraId="716ECB0C">
            <w:pPr>
              <w:spacing w:line="360" w:lineRule="auto"/>
              <w:jc w:val="center"/>
              <w:rPr>
                <w:rFonts w:ascii="宋体" w:hAnsi="宋体" w:cs="宋体"/>
              </w:rPr>
            </w:pPr>
            <w:r>
              <w:rPr>
                <w:rFonts w:hint="eastAsia" w:ascii="宋体" w:hAnsi="宋体" w:cs="宋体"/>
              </w:rPr>
              <w:t>3</w:t>
            </w:r>
            <w:r>
              <w:rPr>
                <w:rFonts w:ascii="宋体" w:hAnsi="宋体" w:cs="宋体"/>
              </w:rPr>
              <w:t>.</w:t>
            </w:r>
            <w:r>
              <w:rPr>
                <w:rFonts w:hint="eastAsia" w:ascii="宋体" w:hAnsi="宋体" w:cs="宋体"/>
              </w:rPr>
              <w:t>1</w:t>
            </w:r>
          </w:p>
        </w:tc>
        <w:tc>
          <w:tcPr>
            <w:tcW w:w="2376" w:type="dxa"/>
            <w:vAlign w:val="center"/>
          </w:tcPr>
          <w:p w14:paraId="7087A74D">
            <w:pPr>
              <w:spacing w:line="360" w:lineRule="auto"/>
              <w:jc w:val="center"/>
              <w:rPr>
                <w:rFonts w:ascii="宋体" w:hAnsi="宋体" w:cs="宋体"/>
              </w:rPr>
            </w:pPr>
            <w:r>
              <w:rPr>
                <w:rFonts w:hint="eastAsia" w:ascii="宋体" w:hAnsi="宋体" w:cs="宋体"/>
              </w:rPr>
              <w:t>资金来源</w:t>
            </w:r>
          </w:p>
        </w:tc>
        <w:tc>
          <w:tcPr>
            <w:tcW w:w="5278" w:type="dxa"/>
            <w:vAlign w:val="center"/>
          </w:tcPr>
          <w:p w14:paraId="68CF11A8">
            <w:pPr>
              <w:spacing w:line="360" w:lineRule="auto"/>
              <w:rPr>
                <w:rFonts w:ascii="宋体" w:hAnsi="宋体" w:cs="宋体"/>
              </w:rPr>
            </w:pPr>
            <w:r>
              <w:rPr>
                <w:rFonts w:hint="eastAsia" w:ascii="宋体" w:hAnsi="宋体" w:cs="宋体"/>
              </w:rPr>
              <w:t>财政</w:t>
            </w:r>
          </w:p>
        </w:tc>
      </w:tr>
      <w:tr w14:paraId="4AC838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767EC045">
            <w:pPr>
              <w:spacing w:line="360" w:lineRule="auto"/>
              <w:jc w:val="center"/>
              <w:rPr>
                <w:rFonts w:ascii="宋体" w:hAnsi="宋体" w:cs="宋体"/>
              </w:rPr>
            </w:pPr>
            <w:r>
              <w:rPr>
                <w:rFonts w:hint="eastAsia" w:ascii="宋体" w:hAnsi="宋体" w:cs="宋体"/>
              </w:rPr>
              <w:t>5</w:t>
            </w:r>
          </w:p>
        </w:tc>
        <w:tc>
          <w:tcPr>
            <w:tcW w:w="850" w:type="dxa"/>
            <w:vAlign w:val="center"/>
          </w:tcPr>
          <w:p w14:paraId="75EF4483">
            <w:pPr>
              <w:spacing w:line="360" w:lineRule="auto"/>
              <w:jc w:val="center"/>
              <w:rPr>
                <w:rFonts w:ascii="宋体" w:hAnsi="宋体" w:cs="宋体"/>
              </w:rPr>
            </w:pPr>
            <w:r>
              <w:rPr>
                <w:rFonts w:hint="eastAsia" w:ascii="宋体" w:hAnsi="宋体" w:cs="宋体"/>
              </w:rPr>
              <w:t>4.7</w:t>
            </w:r>
          </w:p>
        </w:tc>
        <w:tc>
          <w:tcPr>
            <w:tcW w:w="2376" w:type="dxa"/>
            <w:vAlign w:val="center"/>
          </w:tcPr>
          <w:p w14:paraId="031C412D">
            <w:pPr>
              <w:spacing w:line="360" w:lineRule="auto"/>
              <w:jc w:val="center"/>
              <w:rPr>
                <w:rFonts w:ascii="宋体" w:hAnsi="宋体" w:cs="宋体"/>
              </w:rPr>
            </w:pPr>
            <w:r>
              <w:rPr>
                <w:rFonts w:hint="eastAsia" w:ascii="宋体" w:hAnsi="宋体" w:cs="宋体"/>
              </w:rPr>
              <w:t>供应商资格要求</w:t>
            </w:r>
          </w:p>
        </w:tc>
        <w:tc>
          <w:tcPr>
            <w:tcW w:w="5278" w:type="dxa"/>
            <w:vAlign w:val="center"/>
          </w:tcPr>
          <w:p w14:paraId="7C00B098">
            <w:pPr>
              <w:spacing w:line="300" w:lineRule="auto"/>
              <w:rPr>
                <w:rFonts w:ascii="宋体" w:hAnsi="宋体"/>
                <w:szCs w:val="21"/>
              </w:rPr>
            </w:pPr>
            <w:r>
              <w:rPr>
                <w:rFonts w:hint="eastAsia" w:ascii="宋体" w:hAnsi="宋体"/>
                <w:szCs w:val="21"/>
              </w:rPr>
              <w:t>详见《采购公告》“申请人的资格要求”</w:t>
            </w:r>
          </w:p>
          <w:p w14:paraId="4A95C462">
            <w:pPr>
              <w:spacing w:line="360" w:lineRule="auto"/>
              <w:ind w:left="379" w:hanging="379" w:hangingChars="180"/>
              <w:rPr>
                <w:rFonts w:ascii="宋体" w:hAnsi="宋体" w:cs="宋体"/>
                <w:szCs w:val="21"/>
              </w:rPr>
            </w:pPr>
            <w:r>
              <w:rPr>
                <w:rFonts w:hint="eastAsia" w:ascii="Times New Roman" w:hAnsi="宋体" w:cs="宋体"/>
                <w:b/>
                <w:bCs/>
              </w:rPr>
              <w:t>（资格证明文件详见第三部分 投标文件格式）</w:t>
            </w:r>
          </w:p>
        </w:tc>
      </w:tr>
      <w:tr w14:paraId="37FD92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789C4CE7">
            <w:pPr>
              <w:spacing w:line="360" w:lineRule="auto"/>
              <w:jc w:val="center"/>
              <w:rPr>
                <w:rFonts w:ascii="宋体" w:hAnsi="宋体" w:cs="宋体"/>
              </w:rPr>
            </w:pPr>
            <w:r>
              <w:rPr>
                <w:rFonts w:hint="eastAsia" w:ascii="宋体" w:hAnsi="宋体" w:cs="宋体"/>
              </w:rPr>
              <w:t>6</w:t>
            </w:r>
          </w:p>
        </w:tc>
        <w:tc>
          <w:tcPr>
            <w:tcW w:w="850" w:type="dxa"/>
            <w:vAlign w:val="center"/>
          </w:tcPr>
          <w:p w14:paraId="48A15A48">
            <w:pPr>
              <w:spacing w:line="360" w:lineRule="auto"/>
              <w:jc w:val="center"/>
              <w:rPr>
                <w:rFonts w:ascii="宋体" w:hAnsi="宋体" w:cs="宋体"/>
              </w:rPr>
            </w:pPr>
            <w:r>
              <w:rPr>
                <w:rFonts w:hint="eastAsia" w:ascii="宋体" w:hAnsi="宋体" w:cs="宋体"/>
              </w:rPr>
              <w:t>6.1</w:t>
            </w:r>
          </w:p>
        </w:tc>
        <w:tc>
          <w:tcPr>
            <w:tcW w:w="2376" w:type="dxa"/>
            <w:vAlign w:val="center"/>
          </w:tcPr>
          <w:p w14:paraId="21ADDF12">
            <w:pPr>
              <w:spacing w:line="360" w:lineRule="auto"/>
              <w:jc w:val="center"/>
              <w:rPr>
                <w:rFonts w:ascii="宋体" w:hAnsi="宋体" w:cs="宋体"/>
              </w:rPr>
            </w:pPr>
            <w:r>
              <w:rPr>
                <w:rFonts w:hint="eastAsia" w:ascii="宋体" w:hAnsi="宋体" w:cs="宋体"/>
              </w:rPr>
              <w:t>踏勘现场</w:t>
            </w:r>
          </w:p>
        </w:tc>
        <w:tc>
          <w:tcPr>
            <w:tcW w:w="5278" w:type="dxa"/>
            <w:vAlign w:val="center"/>
          </w:tcPr>
          <w:p w14:paraId="18791032">
            <w:pPr>
              <w:spacing w:line="360" w:lineRule="auto"/>
              <w:rPr>
                <w:rFonts w:ascii="宋体" w:hAnsi="宋体" w:cs="宋体"/>
              </w:rPr>
            </w:pPr>
            <w:r>
              <w:rPr>
                <w:rFonts w:hint="eastAsia" w:ascii="宋体" w:hAnsi="宋体" w:cs="宋体"/>
                <w:bCs/>
              </w:rPr>
              <w:t>无</w:t>
            </w:r>
          </w:p>
        </w:tc>
      </w:tr>
      <w:tr w14:paraId="09A461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52DC056E">
            <w:pPr>
              <w:spacing w:line="360" w:lineRule="auto"/>
              <w:jc w:val="center"/>
              <w:rPr>
                <w:rFonts w:ascii="宋体" w:hAnsi="宋体" w:cs="宋体"/>
              </w:rPr>
            </w:pPr>
            <w:r>
              <w:rPr>
                <w:rFonts w:hint="eastAsia" w:ascii="宋体" w:hAnsi="宋体" w:cs="宋体"/>
              </w:rPr>
              <w:t>7</w:t>
            </w:r>
          </w:p>
        </w:tc>
        <w:tc>
          <w:tcPr>
            <w:tcW w:w="850" w:type="dxa"/>
            <w:vAlign w:val="center"/>
          </w:tcPr>
          <w:p w14:paraId="2E0AFC16">
            <w:pPr>
              <w:tabs>
                <w:tab w:val="left" w:pos="915"/>
              </w:tabs>
              <w:spacing w:line="276" w:lineRule="auto"/>
              <w:jc w:val="center"/>
              <w:rPr>
                <w:rFonts w:ascii="宋体" w:hAnsi="宋体"/>
                <w:szCs w:val="21"/>
              </w:rPr>
            </w:pPr>
            <w:r>
              <w:rPr>
                <w:rFonts w:hint="eastAsia" w:ascii="宋体" w:hAnsi="宋体" w:cs="仿宋"/>
                <w:sz w:val="22"/>
                <w:szCs w:val="24"/>
              </w:rPr>
              <w:t>14.1</w:t>
            </w:r>
          </w:p>
        </w:tc>
        <w:tc>
          <w:tcPr>
            <w:tcW w:w="2376" w:type="dxa"/>
            <w:vAlign w:val="center"/>
          </w:tcPr>
          <w:p w14:paraId="76204768">
            <w:pPr>
              <w:tabs>
                <w:tab w:val="left" w:pos="915"/>
              </w:tabs>
              <w:spacing w:line="276" w:lineRule="auto"/>
              <w:jc w:val="center"/>
              <w:rPr>
                <w:rFonts w:ascii="宋体" w:hAnsi="宋体"/>
                <w:szCs w:val="21"/>
              </w:rPr>
            </w:pPr>
            <w:r>
              <w:rPr>
                <w:rFonts w:hint="eastAsia" w:ascii="宋体" w:hAnsi="宋体"/>
                <w:szCs w:val="21"/>
              </w:rPr>
              <w:t>投标有效期</w:t>
            </w:r>
          </w:p>
        </w:tc>
        <w:tc>
          <w:tcPr>
            <w:tcW w:w="5278" w:type="dxa"/>
            <w:vAlign w:val="center"/>
          </w:tcPr>
          <w:p w14:paraId="3EF78AEA">
            <w:pPr>
              <w:tabs>
                <w:tab w:val="left" w:pos="915"/>
              </w:tabs>
              <w:spacing w:line="276" w:lineRule="auto"/>
              <w:rPr>
                <w:rFonts w:ascii="宋体" w:hAnsi="宋体"/>
                <w:szCs w:val="21"/>
              </w:rPr>
            </w:pPr>
            <w:r>
              <w:rPr>
                <w:rFonts w:hint="eastAsia" w:ascii="宋体" w:hAnsi="宋体"/>
                <w:szCs w:val="21"/>
                <w:u w:val="single"/>
              </w:rPr>
              <w:t>90</w:t>
            </w:r>
            <w:r>
              <w:rPr>
                <w:rFonts w:hint="eastAsia" w:ascii="宋体" w:hAnsi="宋体"/>
                <w:szCs w:val="21"/>
              </w:rPr>
              <w:t>日历天（从投标截止之日算起</w:t>
            </w:r>
            <w:r>
              <w:rPr>
                <w:rFonts w:ascii="宋体" w:hAnsi="宋体"/>
                <w:szCs w:val="21"/>
              </w:rPr>
              <w:t>）</w:t>
            </w:r>
          </w:p>
        </w:tc>
      </w:tr>
      <w:tr w14:paraId="1F2128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4878A42D">
            <w:pPr>
              <w:spacing w:line="360" w:lineRule="auto"/>
              <w:jc w:val="center"/>
              <w:rPr>
                <w:rFonts w:ascii="宋体" w:hAnsi="宋体" w:cs="宋体"/>
              </w:rPr>
            </w:pPr>
            <w:r>
              <w:rPr>
                <w:rFonts w:hint="eastAsia" w:ascii="宋体" w:hAnsi="宋体" w:cs="宋体"/>
              </w:rPr>
              <w:t>8</w:t>
            </w:r>
          </w:p>
        </w:tc>
        <w:tc>
          <w:tcPr>
            <w:tcW w:w="850" w:type="dxa"/>
            <w:vAlign w:val="center"/>
          </w:tcPr>
          <w:p w14:paraId="34A5767B">
            <w:pPr>
              <w:tabs>
                <w:tab w:val="left" w:pos="915"/>
              </w:tabs>
              <w:spacing w:line="276" w:lineRule="auto"/>
              <w:jc w:val="center"/>
              <w:rPr>
                <w:rFonts w:ascii="宋体" w:hAnsi="宋体"/>
                <w:szCs w:val="21"/>
              </w:rPr>
            </w:pPr>
            <w:r>
              <w:rPr>
                <w:rFonts w:hint="eastAsia" w:ascii="宋体" w:hAnsi="宋体" w:cs="仿宋"/>
                <w:sz w:val="22"/>
                <w:szCs w:val="24"/>
              </w:rPr>
              <w:t>15.2</w:t>
            </w:r>
          </w:p>
        </w:tc>
        <w:tc>
          <w:tcPr>
            <w:tcW w:w="2376" w:type="dxa"/>
            <w:vAlign w:val="center"/>
          </w:tcPr>
          <w:p w14:paraId="285B1DCB">
            <w:pPr>
              <w:tabs>
                <w:tab w:val="left" w:pos="915"/>
              </w:tabs>
              <w:spacing w:line="276" w:lineRule="auto"/>
              <w:jc w:val="center"/>
              <w:rPr>
                <w:rFonts w:ascii="宋体" w:hAnsi="宋体"/>
                <w:szCs w:val="21"/>
              </w:rPr>
            </w:pPr>
            <w:r>
              <w:rPr>
                <w:rFonts w:hint="eastAsia" w:ascii="宋体" w:hAnsi="宋体"/>
                <w:szCs w:val="21"/>
              </w:rPr>
              <w:t>项目保证金</w:t>
            </w:r>
          </w:p>
        </w:tc>
        <w:tc>
          <w:tcPr>
            <w:tcW w:w="5278" w:type="dxa"/>
            <w:vAlign w:val="center"/>
          </w:tcPr>
          <w:p w14:paraId="33A42602">
            <w:pPr>
              <w:tabs>
                <w:tab w:val="left" w:pos="915"/>
              </w:tabs>
              <w:spacing w:line="276" w:lineRule="auto"/>
              <w:rPr>
                <w:rFonts w:ascii="宋体" w:hAnsi="宋体"/>
                <w:szCs w:val="21"/>
              </w:rPr>
            </w:pPr>
            <w:r>
              <w:rPr>
                <w:rFonts w:hint="eastAsia" w:cs="仿宋" w:asciiTheme="minorEastAsia" w:hAnsiTheme="minorEastAsia"/>
              </w:rPr>
              <w:t>本项目不收取项目保证金</w:t>
            </w:r>
          </w:p>
        </w:tc>
      </w:tr>
      <w:tr w14:paraId="50D09F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766" w:type="dxa"/>
            <w:vAlign w:val="center"/>
          </w:tcPr>
          <w:p w14:paraId="47895A81">
            <w:pPr>
              <w:spacing w:line="360" w:lineRule="auto"/>
              <w:jc w:val="center"/>
              <w:rPr>
                <w:rFonts w:ascii="宋体" w:hAnsi="宋体" w:cs="宋体"/>
              </w:rPr>
            </w:pPr>
            <w:r>
              <w:rPr>
                <w:rFonts w:hint="eastAsia" w:ascii="宋体" w:hAnsi="宋体" w:cs="宋体"/>
              </w:rPr>
              <w:t>9</w:t>
            </w:r>
          </w:p>
        </w:tc>
        <w:tc>
          <w:tcPr>
            <w:tcW w:w="850" w:type="dxa"/>
            <w:vAlign w:val="center"/>
          </w:tcPr>
          <w:p w14:paraId="23C5B9DB">
            <w:pPr>
              <w:spacing w:line="360" w:lineRule="auto"/>
              <w:jc w:val="center"/>
              <w:rPr>
                <w:rFonts w:ascii="宋体" w:hAnsi="宋体" w:cs="宋体"/>
              </w:rPr>
            </w:pPr>
            <w:r>
              <w:rPr>
                <w:rFonts w:ascii="宋体" w:hAnsi="宋体" w:cs="宋体"/>
              </w:rPr>
              <w:t>1</w:t>
            </w:r>
            <w:r>
              <w:rPr>
                <w:rFonts w:hint="eastAsia" w:ascii="宋体" w:hAnsi="宋体" w:cs="宋体"/>
              </w:rPr>
              <w:t>7</w:t>
            </w:r>
            <w:r>
              <w:rPr>
                <w:rFonts w:ascii="宋体" w:hAnsi="宋体" w:cs="宋体"/>
              </w:rPr>
              <w:t>.1</w:t>
            </w:r>
          </w:p>
        </w:tc>
        <w:tc>
          <w:tcPr>
            <w:tcW w:w="2376" w:type="dxa"/>
            <w:vAlign w:val="center"/>
          </w:tcPr>
          <w:p w14:paraId="0A32EE36">
            <w:pPr>
              <w:spacing w:line="360" w:lineRule="auto"/>
              <w:jc w:val="center"/>
              <w:rPr>
                <w:rFonts w:ascii="宋体" w:hAnsi="宋体" w:cs="宋体"/>
              </w:rPr>
            </w:pPr>
            <w:r>
              <w:rPr>
                <w:rFonts w:hint="eastAsia" w:ascii="宋体" w:hAnsi="宋体" w:cs="宋体"/>
                <w:bCs/>
              </w:rPr>
              <w:t>投标文件</w:t>
            </w:r>
            <w:r>
              <w:rPr>
                <w:rFonts w:hint="eastAsia" w:ascii="宋体" w:hAnsi="宋体" w:cs="宋体"/>
              </w:rPr>
              <w:t>份数</w:t>
            </w:r>
          </w:p>
        </w:tc>
        <w:tc>
          <w:tcPr>
            <w:tcW w:w="5278" w:type="dxa"/>
            <w:vAlign w:val="center"/>
          </w:tcPr>
          <w:p w14:paraId="02E3D4B2">
            <w:pPr>
              <w:rPr>
                <w:rFonts w:ascii="宋体" w:hAnsi="宋体" w:cs="宋体"/>
              </w:rPr>
            </w:pPr>
            <w:r>
              <w:rPr>
                <w:rFonts w:hint="eastAsia" w:ascii="宋体" w:hAnsi="宋体" w:cs="宋体"/>
              </w:rPr>
              <w:t>正本2份，副本4份，</w:t>
            </w:r>
            <w:r>
              <w:rPr>
                <w:rFonts w:hint="eastAsia" w:ascii="宋体" w:hAnsi="宋体" w:cs="仿宋"/>
              </w:rPr>
              <w:t>电子备份光盘（或U盘）1份（含投标文件正本盖章扫描件及投标文件WORD文档）。</w:t>
            </w:r>
            <w:r>
              <w:rPr>
                <w:rFonts w:hint="eastAsia" w:ascii="宋体" w:hAnsi="宋体" w:cs="宋体"/>
                <w:snapToGrid w:val="0"/>
                <w:kern w:val="0"/>
              </w:rPr>
              <w:t>投标文件正本和副本必须标注页码并装订成册。</w:t>
            </w:r>
          </w:p>
        </w:tc>
      </w:tr>
      <w:tr w14:paraId="683114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1C6DDE64">
            <w:pPr>
              <w:spacing w:line="360" w:lineRule="auto"/>
              <w:jc w:val="center"/>
              <w:rPr>
                <w:rFonts w:ascii="宋体" w:hAnsi="宋体" w:cs="宋体"/>
              </w:rPr>
            </w:pPr>
            <w:r>
              <w:rPr>
                <w:rFonts w:hint="eastAsia" w:ascii="宋体" w:hAnsi="宋体" w:cs="宋体"/>
              </w:rPr>
              <w:t>10</w:t>
            </w:r>
          </w:p>
        </w:tc>
        <w:tc>
          <w:tcPr>
            <w:tcW w:w="850" w:type="dxa"/>
            <w:vAlign w:val="center"/>
          </w:tcPr>
          <w:p w14:paraId="72879413">
            <w:pPr>
              <w:spacing w:line="360" w:lineRule="auto"/>
              <w:jc w:val="center"/>
              <w:rPr>
                <w:rFonts w:ascii="宋体" w:hAnsi="宋体" w:cs="宋体"/>
              </w:rPr>
            </w:pPr>
            <w:r>
              <w:rPr>
                <w:rFonts w:hint="eastAsia" w:ascii="宋体" w:hAnsi="宋体" w:cs="仿宋"/>
                <w:sz w:val="22"/>
                <w:szCs w:val="24"/>
              </w:rPr>
              <w:t>19.2</w:t>
            </w:r>
          </w:p>
        </w:tc>
        <w:tc>
          <w:tcPr>
            <w:tcW w:w="2376" w:type="dxa"/>
            <w:vAlign w:val="center"/>
          </w:tcPr>
          <w:p w14:paraId="42F4704C">
            <w:pPr>
              <w:spacing w:line="360" w:lineRule="auto"/>
              <w:jc w:val="center"/>
              <w:rPr>
                <w:rFonts w:ascii="宋体" w:hAnsi="宋体" w:cs="宋体"/>
              </w:rPr>
            </w:pPr>
            <w:r>
              <w:rPr>
                <w:rFonts w:hint="eastAsia" w:ascii="宋体" w:hAnsi="宋体" w:cs="宋体"/>
              </w:rPr>
              <w:t>开标</w:t>
            </w:r>
          </w:p>
        </w:tc>
        <w:tc>
          <w:tcPr>
            <w:tcW w:w="5278" w:type="dxa"/>
            <w:vAlign w:val="center"/>
          </w:tcPr>
          <w:p w14:paraId="13D99194">
            <w:pPr>
              <w:spacing w:line="360" w:lineRule="auto"/>
              <w:rPr>
                <w:rFonts w:ascii="宋体" w:hAnsi="宋体" w:cs="宋体"/>
                <w:szCs w:val="21"/>
              </w:rPr>
            </w:pPr>
            <w:r>
              <w:rPr>
                <w:rFonts w:hint="eastAsia" w:ascii="宋体" w:hAnsi="宋体" w:cs="宋体"/>
                <w:szCs w:val="21"/>
              </w:rPr>
              <w:t>详见《采购公告》</w:t>
            </w:r>
          </w:p>
        </w:tc>
      </w:tr>
      <w:tr w14:paraId="2CEB04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2CF98DC6">
            <w:pPr>
              <w:spacing w:line="360" w:lineRule="auto"/>
              <w:jc w:val="center"/>
              <w:rPr>
                <w:rFonts w:ascii="宋体" w:hAnsi="宋体" w:cs="宋体"/>
              </w:rPr>
            </w:pPr>
            <w:r>
              <w:rPr>
                <w:rFonts w:hint="eastAsia" w:ascii="宋体" w:hAnsi="宋体" w:cs="宋体"/>
              </w:rPr>
              <w:t>11</w:t>
            </w:r>
          </w:p>
        </w:tc>
        <w:tc>
          <w:tcPr>
            <w:tcW w:w="850" w:type="dxa"/>
            <w:vAlign w:val="center"/>
          </w:tcPr>
          <w:p w14:paraId="1033C9B5">
            <w:pPr>
              <w:spacing w:line="360" w:lineRule="auto"/>
              <w:jc w:val="center"/>
              <w:rPr>
                <w:rFonts w:ascii="宋体" w:hAnsi="宋体" w:cs="宋体"/>
              </w:rPr>
            </w:pPr>
            <w:r>
              <w:rPr>
                <w:rFonts w:hint="eastAsia" w:ascii="宋体" w:hAnsi="宋体" w:cs="仿宋"/>
                <w:sz w:val="22"/>
                <w:szCs w:val="24"/>
              </w:rPr>
              <w:t>19.2</w:t>
            </w:r>
          </w:p>
        </w:tc>
        <w:tc>
          <w:tcPr>
            <w:tcW w:w="2376" w:type="dxa"/>
            <w:vAlign w:val="center"/>
          </w:tcPr>
          <w:p w14:paraId="1624129B">
            <w:pPr>
              <w:spacing w:line="360" w:lineRule="auto"/>
              <w:jc w:val="center"/>
              <w:rPr>
                <w:rFonts w:hAnsi="宋体"/>
              </w:rPr>
            </w:pPr>
            <w:r>
              <w:rPr>
                <w:rFonts w:hint="eastAsia" w:ascii="宋体" w:hAnsi="宋体" w:cs="仿宋"/>
                <w:bCs/>
              </w:rPr>
              <w:t>提交投标文件</w:t>
            </w:r>
            <w:r>
              <w:rPr>
                <w:rFonts w:hint="eastAsia" w:hAnsi="宋体" w:cs="仿宋"/>
              </w:rPr>
              <w:t>截止时间</w:t>
            </w:r>
          </w:p>
        </w:tc>
        <w:tc>
          <w:tcPr>
            <w:tcW w:w="5278" w:type="dxa"/>
            <w:vAlign w:val="center"/>
          </w:tcPr>
          <w:p w14:paraId="537E6D41">
            <w:pPr>
              <w:spacing w:line="360" w:lineRule="auto"/>
              <w:rPr>
                <w:rFonts w:ascii="宋体" w:hAnsi="宋体" w:cs="宋体"/>
                <w:b/>
              </w:rPr>
            </w:pPr>
            <w:r>
              <w:rPr>
                <w:rFonts w:hint="eastAsia" w:ascii="宋体" w:hAnsi="宋体" w:cs="宋体"/>
                <w:szCs w:val="21"/>
              </w:rPr>
              <w:t>详见《采购公告》</w:t>
            </w:r>
          </w:p>
        </w:tc>
      </w:tr>
      <w:tr w14:paraId="09B3A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65943185">
            <w:pPr>
              <w:spacing w:line="360" w:lineRule="auto"/>
              <w:jc w:val="center"/>
              <w:rPr>
                <w:rFonts w:ascii="宋体" w:hAnsi="宋体" w:cs="宋体"/>
              </w:rPr>
            </w:pPr>
            <w:r>
              <w:rPr>
                <w:rFonts w:hint="eastAsia" w:ascii="宋体" w:hAnsi="宋体" w:cs="宋体"/>
              </w:rPr>
              <w:t>12</w:t>
            </w:r>
          </w:p>
        </w:tc>
        <w:tc>
          <w:tcPr>
            <w:tcW w:w="850" w:type="dxa"/>
            <w:vAlign w:val="center"/>
          </w:tcPr>
          <w:p w14:paraId="77E17599">
            <w:pPr>
              <w:spacing w:line="360" w:lineRule="auto"/>
              <w:jc w:val="center"/>
              <w:rPr>
                <w:rFonts w:ascii="宋体" w:hAnsi="宋体" w:cs="宋体"/>
              </w:rPr>
            </w:pPr>
            <w:r>
              <w:rPr>
                <w:rFonts w:hint="eastAsia" w:ascii="宋体" w:hAnsi="宋体" w:cs="仿宋"/>
                <w:sz w:val="22"/>
                <w:szCs w:val="24"/>
              </w:rPr>
              <w:t>26.5</w:t>
            </w:r>
          </w:p>
        </w:tc>
        <w:tc>
          <w:tcPr>
            <w:tcW w:w="2376" w:type="dxa"/>
            <w:vAlign w:val="center"/>
          </w:tcPr>
          <w:p w14:paraId="59D682FE">
            <w:pPr>
              <w:spacing w:line="360" w:lineRule="auto"/>
              <w:jc w:val="center"/>
              <w:rPr>
                <w:rFonts w:ascii="宋体" w:hAnsi="宋体" w:cs="宋体"/>
              </w:rPr>
            </w:pPr>
            <w:r>
              <w:rPr>
                <w:rFonts w:hint="eastAsia" w:ascii="宋体" w:hAnsi="宋体" w:cs="仿宋"/>
                <w:sz w:val="22"/>
                <w:szCs w:val="24"/>
              </w:rPr>
              <w:t>评审方法</w:t>
            </w:r>
          </w:p>
        </w:tc>
        <w:tc>
          <w:tcPr>
            <w:tcW w:w="5278" w:type="dxa"/>
            <w:vAlign w:val="center"/>
          </w:tcPr>
          <w:p w14:paraId="4D9B9455">
            <w:pPr>
              <w:spacing w:line="360" w:lineRule="auto"/>
              <w:rPr>
                <w:rFonts w:ascii="宋体" w:hAnsi="宋体" w:cs="宋体"/>
              </w:rPr>
            </w:pPr>
            <w:r>
              <w:rPr>
                <w:rFonts w:hint="eastAsia" w:ascii="宋体" w:hAnsi="宋体" w:cs="宋体"/>
              </w:rPr>
              <w:t>综合评分法</w:t>
            </w:r>
          </w:p>
        </w:tc>
      </w:tr>
      <w:tr w14:paraId="369F26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5F80D315">
            <w:pPr>
              <w:spacing w:line="360" w:lineRule="auto"/>
              <w:jc w:val="center"/>
              <w:rPr>
                <w:rFonts w:ascii="宋体" w:hAnsi="宋体" w:cs="宋体"/>
              </w:rPr>
            </w:pPr>
            <w:r>
              <w:rPr>
                <w:rFonts w:hint="eastAsia" w:ascii="宋体" w:hAnsi="宋体" w:cs="宋体"/>
              </w:rPr>
              <w:t>13</w:t>
            </w:r>
          </w:p>
        </w:tc>
        <w:tc>
          <w:tcPr>
            <w:tcW w:w="850" w:type="dxa"/>
            <w:vAlign w:val="center"/>
          </w:tcPr>
          <w:p w14:paraId="15ED1397">
            <w:pPr>
              <w:spacing w:line="360" w:lineRule="auto"/>
              <w:jc w:val="center"/>
              <w:rPr>
                <w:rFonts w:ascii="宋体" w:hAnsi="宋体" w:cs="宋体"/>
              </w:rPr>
            </w:pPr>
            <w:r>
              <w:rPr>
                <w:rFonts w:hint="eastAsia" w:ascii="宋体" w:hAnsi="宋体" w:cs="仿宋"/>
                <w:sz w:val="22"/>
                <w:szCs w:val="24"/>
              </w:rPr>
              <w:t>33.1</w:t>
            </w:r>
          </w:p>
        </w:tc>
        <w:tc>
          <w:tcPr>
            <w:tcW w:w="2376" w:type="dxa"/>
            <w:vAlign w:val="center"/>
          </w:tcPr>
          <w:p w14:paraId="62F5AF6B">
            <w:pPr>
              <w:spacing w:line="340" w:lineRule="exact"/>
              <w:jc w:val="center"/>
              <w:rPr>
                <w:rFonts w:ascii="宋体" w:hAnsi="宋体" w:cs="宋体"/>
              </w:rPr>
            </w:pPr>
            <w:r>
              <w:rPr>
                <w:rFonts w:hint="eastAsia" w:ascii="宋体" w:hAnsi="宋体" w:cs="宋体"/>
              </w:rPr>
              <w:t>采购代理服务费</w:t>
            </w:r>
          </w:p>
        </w:tc>
        <w:tc>
          <w:tcPr>
            <w:tcW w:w="5278" w:type="dxa"/>
            <w:vAlign w:val="center"/>
          </w:tcPr>
          <w:p w14:paraId="138358F3">
            <w:pPr>
              <w:pStyle w:val="13"/>
              <w:spacing w:line="340" w:lineRule="exact"/>
              <w:rPr>
                <w:rFonts w:cs="仿宋" w:asciiTheme="minorEastAsia" w:hAnsiTheme="minorEastAsia"/>
              </w:rPr>
            </w:pPr>
            <w:r>
              <w:rPr>
                <w:rFonts w:hint="eastAsia" w:cs="仿宋" w:asciiTheme="minorEastAsia" w:hAnsiTheme="minorEastAsia"/>
              </w:rPr>
              <w:t>采购代理机构按中标金额的一定比例向中标供应商收取，最低收取人民币5000元。</w:t>
            </w:r>
          </w:p>
          <w:p w14:paraId="0FD52C11">
            <w:pPr>
              <w:pStyle w:val="13"/>
              <w:spacing w:line="340" w:lineRule="exact"/>
              <w:rPr>
                <w:rFonts w:cs="仿宋" w:asciiTheme="minorEastAsia" w:hAnsiTheme="minorEastAsia"/>
              </w:rPr>
            </w:pPr>
            <w:r>
              <w:rPr>
                <w:rFonts w:hint="eastAsia" w:cs="仿宋" w:asciiTheme="minorEastAsia" w:hAnsiTheme="minorEastAsia"/>
              </w:rPr>
              <w:t>（详见“第五部分-通用条款（投标须知）第33条款”）</w:t>
            </w:r>
          </w:p>
        </w:tc>
      </w:tr>
      <w:tr w14:paraId="0D00CC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0E0722FE">
            <w:pPr>
              <w:spacing w:line="360" w:lineRule="auto"/>
              <w:jc w:val="center"/>
              <w:rPr>
                <w:rFonts w:ascii="宋体" w:hAnsi="宋体" w:cs="宋体"/>
              </w:rPr>
            </w:pPr>
            <w:r>
              <w:rPr>
                <w:rFonts w:hint="eastAsia" w:ascii="宋体" w:hAnsi="宋体" w:cs="宋体"/>
              </w:rPr>
              <w:t>14</w:t>
            </w:r>
          </w:p>
        </w:tc>
        <w:tc>
          <w:tcPr>
            <w:tcW w:w="850" w:type="dxa"/>
            <w:vAlign w:val="center"/>
          </w:tcPr>
          <w:p w14:paraId="63D059E7">
            <w:pPr>
              <w:spacing w:line="360" w:lineRule="auto"/>
              <w:jc w:val="center"/>
              <w:rPr>
                <w:rFonts w:ascii="宋体" w:hAnsi="宋体" w:cs="仿宋"/>
                <w:sz w:val="22"/>
                <w:szCs w:val="24"/>
              </w:rPr>
            </w:pPr>
            <w:r>
              <w:rPr>
                <w:rFonts w:hint="eastAsia" w:cs="仿宋" w:asciiTheme="minorEastAsia" w:hAnsiTheme="minorEastAsia"/>
              </w:rPr>
              <w:t>34</w:t>
            </w:r>
          </w:p>
        </w:tc>
        <w:tc>
          <w:tcPr>
            <w:tcW w:w="2376" w:type="dxa"/>
            <w:vAlign w:val="center"/>
          </w:tcPr>
          <w:p w14:paraId="5989F944">
            <w:pPr>
              <w:pStyle w:val="13"/>
              <w:spacing w:line="360" w:lineRule="auto"/>
              <w:jc w:val="center"/>
              <w:rPr>
                <w:rFonts w:hAnsi="宋体" w:cs="宋体"/>
              </w:rPr>
            </w:pPr>
            <w:r>
              <w:rPr>
                <w:rFonts w:hint="eastAsia" w:cs="仿宋" w:asciiTheme="minorEastAsia" w:hAnsiTheme="minorEastAsia"/>
              </w:rPr>
              <w:t>本项目公开征集失败的处理方式</w:t>
            </w:r>
          </w:p>
        </w:tc>
        <w:tc>
          <w:tcPr>
            <w:tcW w:w="5278" w:type="dxa"/>
            <w:vAlign w:val="center"/>
          </w:tcPr>
          <w:p w14:paraId="75623D77">
            <w:pPr>
              <w:pStyle w:val="13"/>
              <w:spacing w:line="360" w:lineRule="auto"/>
              <w:rPr>
                <w:rFonts w:cs="仿宋" w:asciiTheme="minorEastAsia" w:hAnsiTheme="minorEastAsia"/>
                <w:bCs/>
              </w:rPr>
            </w:pPr>
            <w:r>
              <w:rPr>
                <w:rFonts w:hint="eastAsia" w:cs="仿宋" w:asciiTheme="minorEastAsia" w:hAnsiTheme="minorEastAsia"/>
                <w:bCs/>
              </w:rPr>
              <w:t>公开征集有效供应商不足三家的，项目根据以下情况开展：</w:t>
            </w:r>
          </w:p>
          <w:p w14:paraId="5FB2CF40">
            <w:pPr>
              <w:pStyle w:val="13"/>
              <w:spacing w:line="360" w:lineRule="auto"/>
              <w:rPr>
                <w:rFonts w:cs="仿宋" w:asciiTheme="minorEastAsia" w:hAnsiTheme="minorEastAsia"/>
                <w:bCs/>
              </w:rPr>
            </w:pPr>
            <w:r>
              <w:rPr>
                <w:rFonts w:hint="eastAsia" w:cs="仿宋" w:asciiTheme="minorEastAsia" w:hAnsiTheme="minorEastAsia"/>
                <w:bCs/>
              </w:rPr>
              <w:t>1.有效供应商为两家的，项目现场转为邀请竞标，评审委员会根据本项目采购文件规定的评审方法确定中标供应商。</w:t>
            </w:r>
          </w:p>
          <w:p w14:paraId="2474E1A0">
            <w:pPr>
              <w:pStyle w:val="13"/>
              <w:spacing w:line="360" w:lineRule="auto"/>
              <w:rPr>
                <w:rFonts w:cs="仿宋" w:asciiTheme="minorEastAsia" w:hAnsiTheme="minorEastAsia"/>
                <w:bCs/>
              </w:rPr>
            </w:pPr>
            <w:r>
              <w:rPr>
                <w:rFonts w:hint="eastAsia" w:cs="仿宋" w:asciiTheme="minorEastAsia" w:hAnsiTheme="minorEastAsia"/>
                <w:bCs/>
              </w:rPr>
              <w:t>2.有效供应商为一家的，项目现场转为直接采购，评审委员会与唯一供应商进行总计不少于三轮谈判、报价(含首轮报价)。</w:t>
            </w:r>
          </w:p>
          <w:p w14:paraId="072FA029">
            <w:pPr>
              <w:pStyle w:val="13"/>
              <w:spacing w:line="360" w:lineRule="auto"/>
              <w:rPr>
                <w:rFonts w:cs="仿宋" w:asciiTheme="minorEastAsia" w:hAnsiTheme="minorEastAsia"/>
              </w:rPr>
            </w:pPr>
            <w:r>
              <w:rPr>
                <w:rFonts w:hint="eastAsia" w:cs="仿宋" w:asciiTheme="minorEastAsia" w:hAnsiTheme="minorEastAsia"/>
                <w:bCs/>
              </w:rPr>
              <w:t>3.无有效供应商的，项目公开征集失败，重新采购。</w:t>
            </w:r>
          </w:p>
        </w:tc>
      </w:tr>
      <w:tr w14:paraId="0EE496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28B41C81">
            <w:pPr>
              <w:spacing w:line="360" w:lineRule="auto"/>
              <w:jc w:val="center"/>
              <w:rPr>
                <w:rFonts w:ascii="宋体" w:hAnsi="宋体" w:cs="宋体"/>
              </w:rPr>
            </w:pPr>
            <w:r>
              <w:rPr>
                <w:rFonts w:hint="eastAsia" w:ascii="宋体" w:hAnsi="宋体" w:cs="宋体"/>
              </w:rPr>
              <w:t>15</w:t>
            </w:r>
          </w:p>
        </w:tc>
        <w:tc>
          <w:tcPr>
            <w:tcW w:w="850" w:type="dxa"/>
            <w:vAlign w:val="center"/>
          </w:tcPr>
          <w:p w14:paraId="2192D9CE">
            <w:pPr>
              <w:spacing w:line="360" w:lineRule="auto"/>
              <w:jc w:val="center"/>
              <w:rPr>
                <w:rFonts w:ascii="宋体" w:hAnsi="宋体" w:cs="宋体"/>
              </w:rPr>
            </w:pPr>
          </w:p>
        </w:tc>
        <w:tc>
          <w:tcPr>
            <w:tcW w:w="2376" w:type="dxa"/>
            <w:vAlign w:val="center"/>
          </w:tcPr>
          <w:p w14:paraId="6C89AB3B">
            <w:pPr>
              <w:spacing w:line="340" w:lineRule="exact"/>
              <w:jc w:val="center"/>
              <w:rPr>
                <w:rFonts w:ascii="宋体" w:hAnsi="宋体" w:cs="宋体"/>
              </w:rPr>
            </w:pPr>
            <w:r>
              <w:rPr>
                <w:rFonts w:hint="eastAsia" w:ascii="宋体" w:hAnsi="宋体" w:cs="宋体"/>
              </w:rPr>
              <w:t>采购控制金额</w:t>
            </w:r>
          </w:p>
          <w:p w14:paraId="33D5A120">
            <w:pPr>
              <w:spacing w:line="340" w:lineRule="exact"/>
              <w:jc w:val="center"/>
              <w:rPr>
                <w:rFonts w:ascii="宋体" w:hAnsi="宋体" w:cs="宋体"/>
              </w:rPr>
            </w:pPr>
            <w:r>
              <w:rPr>
                <w:rFonts w:hint="eastAsia" w:ascii="宋体" w:hAnsi="宋体" w:cs="宋体"/>
              </w:rPr>
              <w:t>（最高投标限价）</w:t>
            </w:r>
          </w:p>
        </w:tc>
        <w:tc>
          <w:tcPr>
            <w:tcW w:w="5278" w:type="dxa"/>
            <w:vAlign w:val="center"/>
          </w:tcPr>
          <w:p w14:paraId="65309946">
            <w:pPr>
              <w:pStyle w:val="13"/>
              <w:spacing w:line="340" w:lineRule="exact"/>
              <w:rPr>
                <w:rFonts w:cs="仿宋" w:asciiTheme="minorEastAsia" w:hAnsiTheme="minorEastAsia"/>
                <w:b/>
              </w:rPr>
            </w:pPr>
            <w:r>
              <w:rPr>
                <w:rFonts w:hint="eastAsia" w:cs="仿宋" w:asciiTheme="minorEastAsia" w:hAnsiTheme="minorEastAsia"/>
                <w:b/>
                <w:highlight w:val="yellow"/>
              </w:rPr>
              <w:t>人民币20万元</w:t>
            </w:r>
          </w:p>
        </w:tc>
      </w:tr>
    </w:tbl>
    <w:p w14:paraId="63805C97">
      <w:pPr>
        <w:jc w:val="center"/>
        <w:rPr>
          <w:rFonts w:cs="仿宋" w:asciiTheme="minorEastAsia" w:hAnsiTheme="minorEastAsia" w:eastAsiaTheme="minorEastAsia"/>
          <w:b/>
          <w:sz w:val="36"/>
          <w:szCs w:val="32"/>
        </w:rPr>
      </w:pPr>
      <w:r>
        <w:rPr>
          <w:rFonts w:hint="eastAsia" w:cs="仿宋" w:asciiTheme="minorEastAsia" w:hAnsiTheme="minorEastAsia" w:eastAsiaTheme="minorEastAsia"/>
          <w:b/>
          <w:sz w:val="36"/>
          <w:szCs w:val="32"/>
        </w:rPr>
        <w:t>投标须知前附件</w:t>
      </w:r>
    </w:p>
    <w:p w14:paraId="4A314B23">
      <w:pPr>
        <w:adjustRightInd w:val="0"/>
        <w:spacing w:line="360" w:lineRule="auto"/>
        <w:ind w:firstLine="420" w:firstLineChars="200"/>
        <w:rPr>
          <w:rFonts w:cs="仿宋" w:asciiTheme="minorEastAsia" w:hAnsiTheme="minorEastAsia" w:eastAsiaTheme="minorEastAsia"/>
          <w:snapToGrid w:val="0"/>
          <w:kern w:val="0"/>
        </w:rPr>
      </w:pPr>
    </w:p>
    <w:p w14:paraId="4C5D0ABB">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本章是本征集文件中涉及的所有无效标和废标情形的摘要，除法律法规另有规定外，投标文件的其他任何情形均不得作无效标和废标处理。征集文件中有关无效标和废标与本章节不一致的，以本章节内容为准。</w:t>
      </w:r>
    </w:p>
    <w:p w14:paraId="2B5EC19A">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请评委重点审查供应商是否存在《深圳经济特区政府采购条例实施细则》第七十五条规定的串通投标情形：</w:t>
      </w:r>
    </w:p>
    <w:p w14:paraId="363D1B35">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（一）投标供应商之间相互约定给予未中标的供应商利益补偿；</w:t>
      </w:r>
    </w:p>
    <w:p w14:paraId="09DA8A16">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（二）不同投标供应商的法定代表人、主要经营负责人、项目投标授权代表人、项目负责人、主要技术人员为同一人、属同一单位或者在同一单位缴纳社会保险；</w:t>
      </w:r>
    </w:p>
    <w:p w14:paraId="61D30A9B">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（三）不同投标供应商的投标文件由同一单位或者同一人编制，或者由同一人分阶段参与编制的；</w:t>
      </w:r>
    </w:p>
    <w:p w14:paraId="5E0E2AE7">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（四）不同投标供应商的投标文件或部分投标文件相互混装；</w:t>
      </w:r>
    </w:p>
    <w:p w14:paraId="2CC5DF81">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（五）不同投标供应商的投标文件内容存在非正常一致；</w:t>
      </w:r>
    </w:p>
    <w:p w14:paraId="3E968FC8">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（六）由同一单位工作人员为两家以上（含两家）供应商进行同一项投标活动的；</w:t>
      </w:r>
    </w:p>
    <w:p w14:paraId="39843C89">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（七）主管部门依照法律、法规认定的其他情形。</w:t>
      </w:r>
    </w:p>
    <w:p w14:paraId="7B9F9938">
      <w:pPr>
        <w:adjustRightInd w:val="0"/>
        <w:spacing w:line="360" w:lineRule="auto"/>
        <w:rPr>
          <w:rFonts w:cs="仿宋" w:asciiTheme="minorEastAsia" w:hAnsiTheme="minorEastAsia" w:eastAsiaTheme="minorEastAsia"/>
          <w:snapToGrid w:val="0"/>
          <w:kern w:val="0"/>
        </w:rPr>
      </w:pPr>
    </w:p>
    <w:p w14:paraId="0DC271CC">
      <w:p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一、资格性审查</w:t>
      </w:r>
    </w:p>
    <w:p w14:paraId="6B9086D9">
      <w:pPr>
        <w:numPr>
          <w:ilvl w:val="0"/>
          <w:numId w:val="1"/>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bCs/>
          <w:szCs w:val="21"/>
        </w:rPr>
        <w:t>投标供应商</w:t>
      </w:r>
      <w:r>
        <w:rPr>
          <w:rFonts w:hint="eastAsia" w:cs="仿宋" w:asciiTheme="minorEastAsia" w:hAnsiTheme="minorEastAsia" w:eastAsiaTheme="minorEastAsia"/>
          <w:snapToGrid w:val="0"/>
          <w:kern w:val="0"/>
        </w:rPr>
        <w:t>的资格不符合征集文件要求或资格证明文件提供不全。</w:t>
      </w:r>
    </w:p>
    <w:p w14:paraId="1896CCB8">
      <w:p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二、符合性审查</w:t>
      </w:r>
    </w:p>
    <w:p w14:paraId="07445AEB">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投标供应商提供的投标文件数量不符合征集文件要求。</w:t>
      </w:r>
    </w:p>
    <w:p w14:paraId="1B1A698C">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投标文件未按照征集文件要求制作、密封和标记。</w:t>
      </w:r>
    </w:p>
    <w:p w14:paraId="160D8050">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投标文件有关内容未按征集文件要求加盖投标供应商印章、或未经法定代表人或其委托代理人签字（或盖章）。</w:t>
      </w:r>
    </w:p>
    <w:p w14:paraId="2A4A25B3">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投标文件的关键内容字迹模糊、无法辨认的。</w:t>
      </w:r>
    </w:p>
    <w:p w14:paraId="7F3F2FE4">
      <w:pPr>
        <w:numPr>
          <w:ilvl w:val="0"/>
          <w:numId w:val="2"/>
        </w:numPr>
        <w:adjustRightInd w:val="0"/>
        <w:spacing w:line="360" w:lineRule="auto"/>
        <w:rPr>
          <w:rFonts w:cs="仿宋" w:asciiTheme="minorEastAsia" w:hAnsiTheme="minorEastAsia" w:eastAsiaTheme="minorEastAsia"/>
          <w:snapToGrid w:val="0"/>
          <w:kern w:val="0"/>
        </w:rPr>
      </w:pPr>
      <w:r>
        <w:rPr>
          <w:rFonts w:hint="eastAsia" w:ascii="宋体" w:hAnsi="宋体"/>
          <w:snapToGrid w:val="0"/>
          <w:kern w:val="0"/>
        </w:rPr>
        <w:t>对征集文件规定的货物或服务采购清单或工程量清单的项目或数量进行修改，评标委员会判定投标响应不满足采购需求的</w:t>
      </w:r>
      <w:r>
        <w:rPr>
          <w:rFonts w:hint="eastAsia" w:cs="仿宋" w:asciiTheme="minorEastAsia" w:hAnsiTheme="minorEastAsia" w:eastAsiaTheme="minorEastAsia"/>
          <w:snapToGrid w:val="0"/>
          <w:kern w:val="0"/>
        </w:rPr>
        <w:t>。</w:t>
      </w:r>
    </w:p>
    <w:p w14:paraId="3DBBB05A">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未实质性响应征集文件要求的。</w:t>
      </w:r>
    </w:p>
    <w:p w14:paraId="5292B502">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任一项带★的指标未投标或不满足要求（如有带★号条款）。</w:t>
      </w:r>
    </w:p>
    <w:p w14:paraId="11B75DB1">
      <w:pPr>
        <w:numPr>
          <w:ilvl w:val="0"/>
          <w:numId w:val="2"/>
        </w:numPr>
        <w:adjustRightInd w:val="0"/>
        <w:spacing w:line="360" w:lineRule="auto"/>
        <w:rPr>
          <w:rFonts w:cs="仿宋" w:asciiTheme="minorEastAsia" w:hAnsiTheme="minorEastAsia" w:eastAsiaTheme="minorEastAsia"/>
          <w:snapToGrid w:val="0"/>
          <w:color w:val="FF0000"/>
          <w:kern w:val="0"/>
        </w:rPr>
      </w:pPr>
      <w:r>
        <w:rPr>
          <w:rFonts w:hint="eastAsia" w:cs="仿宋" w:asciiTheme="minorEastAsia" w:hAnsiTheme="minorEastAsia" w:eastAsiaTheme="minorEastAsia"/>
          <w:snapToGrid w:val="0"/>
          <w:kern w:val="0"/>
        </w:rPr>
        <w:t>未按征集文件所提供的样式填写《声明函》。</w:t>
      </w:r>
    </w:p>
    <w:p w14:paraId="28DFCF12">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将一个项目包拆分投标，同时提供两套或以上的投标方案</w:t>
      </w:r>
      <w:r>
        <w:rPr>
          <w:rFonts w:ascii="Times New Roman" w:hAnsi="Times New Roman"/>
          <w:szCs w:val="21"/>
        </w:rPr>
        <w:t>（</w:t>
      </w:r>
      <w:r>
        <w:rPr>
          <w:rFonts w:hint="eastAsia" w:ascii="Times New Roman" w:hAnsi="Times New Roman"/>
          <w:szCs w:val="21"/>
        </w:rPr>
        <w:t>征集</w:t>
      </w:r>
      <w:r>
        <w:rPr>
          <w:rFonts w:ascii="Times New Roman" w:hAnsi="Times New Roman"/>
          <w:szCs w:val="21"/>
        </w:rPr>
        <w:t>文件另有规定的除外）</w:t>
      </w:r>
      <w:r>
        <w:rPr>
          <w:rFonts w:hint="eastAsia" w:cs="仿宋" w:asciiTheme="minorEastAsia" w:hAnsiTheme="minorEastAsia" w:eastAsiaTheme="minorEastAsia"/>
          <w:snapToGrid w:val="0"/>
          <w:kern w:val="0"/>
        </w:rPr>
        <w:t>。</w:t>
      </w:r>
    </w:p>
    <w:p w14:paraId="4C268C4A">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投标文件附有采购人不能接受的条件。</w:t>
      </w:r>
    </w:p>
    <w:p w14:paraId="772AFEF5">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出现违规行为：如以他人名义竞标、串通投标或者以其他弄虚作假方式投标的。</w:t>
      </w:r>
    </w:p>
    <w:p w14:paraId="6D818D65">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投标总价或单个采购条目的分项报价超过采购预算金额或最高限价的。</w:t>
      </w:r>
    </w:p>
    <w:p w14:paraId="43AC85B5">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法律、法规规定的其他情形。</w:t>
      </w:r>
      <w:r>
        <w:rPr>
          <w:rFonts w:hint="eastAsia" w:cs="仿宋" w:asciiTheme="minorEastAsia" w:hAnsiTheme="minorEastAsia" w:eastAsiaTheme="minorEastAsia"/>
          <w:b/>
          <w:bCs/>
          <w:sz w:val="32"/>
        </w:rPr>
        <w:br w:type="page"/>
      </w:r>
    </w:p>
    <w:p w14:paraId="6C6899AD">
      <w:pPr>
        <w:spacing w:line="360" w:lineRule="auto"/>
        <w:jc w:val="center"/>
        <w:rPr>
          <w:rFonts w:cs="仿宋" w:asciiTheme="minorEastAsia" w:hAnsiTheme="minorEastAsia" w:eastAsiaTheme="minorEastAsia"/>
          <w:b/>
          <w:sz w:val="36"/>
        </w:rPr>
      </w:pPr>
      <w:r>
        <w:rPr>
          <w:rFonts w:hint="eastAsia" w:cs="仿宋" w:asciiTheme="minorEastAsia" w:hAnsiTheme="minorEastAsia" w:eastAsiaTheme="minorEastAsia"/>
          <w:b/>
          <w:sz w:val="36"/>
        </w:rPr>
        <w:t>评审信息</w:t>
      </w:r>
    </w:p>
    <w:p w14:paraId="2EEB25C3">
      <w:pPr>
        <w:spacing w:line="360" w:lineRule="auto"/>
        <w:jc w:val="left"/>
        <w:rPr>
          <w:rFonts w:cs="仿宋" w:asciiTheme="minorEastAsia" w:hAnsiTheme="minorEastAsia" w:eastAsiaTheme="minorEastAsia"/>
          <w:b/>
          <w:szCs w:val="21"/>
        </w:rPr>
      </w:pPr>
    </w:p>
    <w:p w14:paraId="431E498C">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b/>
          <w:szCs w:val="21"/>
        </w:rPr>
        <w:t>评审方法：</w:t>
      </w:r>
      <w:r>
        <w:rPr>
          <w:rFonts w:hint="eastAsia" w:cs="仿宋" w:asciiTheme="minorEastAsia" w:hAnsiTheme="minorEastAsia" w:eastAsiaTheme="minorEastAsia"/>
          <w:szCs w:val="21"/>
        </w:rPr>
        <w:t>综合评分法。</w:t>
      </w:r>
    </w:p>
    <w:p w14:paraId="5052C58E">
      <w:pPr>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综合评分法，是指在最大限度地满足征集文件实质性要求的前提下，按照征集文件中规定的各项因素进行综合评审，评审总得分排名前列的投标供应商，作为推荐的候选中标供应商。</w:t>
      </w:r>
    </w:p>
    <w:tbl>
      <w:tblPr>
        <w:tblStyle w:val="21"/>
        <w:tblW w:w="53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140"/>
        <w:gridCol w:w="674"/>
        <w:gridCol w:w="6392"/>
      </w:tblGrid>
      <w:tr w14:paraId="739F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28" w:type="pct"/>
            <w:tcBorders>
              <w:top w:val="double" w:color="auto" w:sz="4" w:space="0"/>
              <w:left w:val="double" w:color="auto" w:sz="4" w:space="0"/>
              <w:bottom w:val="single" w:color="auto" w:sz="4" w:space="0"/>
            </w:tcBorders>
            <w:shd w:val="clear" w:color="auto" w:fill="8DB3E2"/>
            <w:vAlign w:val="center"/>
          </w:tcPr>
          <w:p w14:paraId="2773FADD">
            <w:pPr>
              <w:adjustRightInd w:val="0"/>
              <w:snapToGri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类别</w:t>
            </w:r>
          </w:p>
        </w:tc>
        <w:tc>
          <w:tcPr>
            <w:tcW w:w="621" w:type="pct"/>
            <w:tcBorders>
              <w:top w:val="double" w:color="auto" w:sz="4" w:space="0"/>
            </w:tcBorders>
            <w:shd w:val="clear" w:color="auto" w:fill="8DB3E2"/>
            <w:vAlign w:val="center"/>
          </w:tcPr>
          <w:p w14:paraId="635056ED">
            <w:pPr>
              <w:adjustRightInd w:val="0"/>
              <w:snapToGri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评分项目</w:t>
            </w:r>
          </w:p>
        </w:tc>
        <w:tc>
          <w:tcPr>
            <w:tcW w:w="367" w:type="pct"/>
            <w:tcBorders>
              <w:top w:val="double" w:color="auto" w:sz="4" w:space="0"/>
            </w:tcBorders>
            <w:shd w:val="clear" w:color="auto" w:fill="8DB3E2"/>
            <w:vAlign w:val="center"/>
          </w:tcPr>
          <w:p w14:paraId="7F654168">
            <w:pPr>
              <w:widowControl/>
              <w:adjustRightInd w:val="0"/>
              <w:snapToGrid w:val="0"/>
              <w:spacing w:line="360" w:lineRule="auto"/>
              <w:jc w:val="center"/>
              <w:rPr>
                <w:rFonts w:ascii="宋体" w:hAnsi="宋体" w:cs="宋体"/>
                <w:snapToGrid w:val="0"/>
                <w:kern w:val="0"/>
                <w:szCs w:val="21"/>
              </w:rPr>
            </w:pPr>
            <w:r>
              <w:rPr>
                <w:rFonts w:hint="eastAsia" w:ascii="宋体" w:hAnsi="宋体" w:cs="宋体"/>
                <w:b/>
                <w:bCs/>
                <w:snapToGrid w:val="0"/>
                <w:kern w:val="0"/>
                <w:szCs w:val="21"/>
              </w:rPr>
              <w:t>权重</w:t>
            </w:r>
          </w:p>
        </w:tc>
        <w:tc>
          <w:tcPr>
            <w:tcW w:w="3482" w:type="pct"/>
            <w:tcBorders>
              <w:top w:val="double" w:color="auto" w:sz="4" w:space="0"/>
              <w:right w:val="double" w:color="auto" w:sz="4" w:space="0"/>
            </w:tcBorders>
            <w:shd w:val="clear" w:color="auto" w:fill="8DB3E2"/>
            <w:vAlign w:val="center"/>
          </w:tcPr>
          <w:p w14:paraId="77AB3741">
            <w:pPr>
              <w:adjustRightInd w:val="0"/>
              <w:snapToGri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备注</w:t>
            </w:r>
          </w:p>
        </w:tc>
      </w:tr>
      <w:tr w14:paraId="5C47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tcBorders>
              <w:left w:val="double" w:color="auto" w:sz="4" w:space="0"/>
            </w:tcBorders>
            <w:vAlign w:val="center"/>
          </w:tcPr>
          <w:p w14:paraId="30E88331">
            <w:pPr>
              <w:adjustRightIn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价格部分（G）</w:t>
            </w:r>
          </w:p>
          <w:p w14:paraId="2BC08EA9">
            <w:pPr>
              <w:adjustRightIn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（总分40分）</w:t>
            </w:r>
          </w:p>
        </w:tc>
        <w:tc>
          <w:tcPr>
            <w:tcW w:w="621" w:type="pct"/>
            <w:vAlign w:val="center"/>
          </w:tcPr>
          <w:p w14:paraId="791AB0D5">
            <w:pPr>
              <w:adjustRightInd w:val="0"/>
              <w:spacing w:line="360" w:lineRule="auto"/>
              <w:jc w:val="center"/>
              <w:rPr>
                <w:rFonts w:ascii="宋体" w:hAnsi="宋体" w:cs="宋体"/>
                <w:kern w:val="0"/>
                <w:szCs w:val="21"/>
              </w:rPr>
            </w:pPr>
            <w:r>
              <w:rPr>
                <w:rFonts w:hint="eastAsia" w:ascii="宋体" w:hAnsi="宋体" w:cs="宋体"/>
                <w:kern w:val="0"/>
                <w:szCs w:val="21"/>
              </w:rPr>
              <w:t>投标报价</w:t>
            </w:r>
          </w:p>
        </w:tc>
        <w:tc>
          <w:tcPr>
            <w:tcW w:w="367" w:type="pct"/>
            <w:vAlign w:val="center"/>
          </w:tcPr>
          <w:p w14:paraId="1D5A27D7">
            <w:pPr>
              <w:adjustRightInd w:val="0"/>
              <w:spacing w:line="360" w:lineRule="auto"/>
              <w:jc w:val="center"/>
              <w:rPr>
                <w:rFonts w:ascii="宋体" w:hAnsi="宋体" w:cs="宋体"/>
                <w:kern w:val="0"/>
                <w:szCs w:val="21"/>
              </w:rPr>
            </w:pPr>
            <w:r>
              <w:rPr>
                <w:rFonts w:hint="eastAsia" w:ascii="宋体" w:hAnsi="宋体" w:cs="宋体"/>
                <w:kern w:val="0"/>
                <w:szCs w:val="21"/>
              </w:rPr>
              <w:t>40</w:t>
            </w:r>
          </w:p>
        </w:tc>
        <w:tc>
          <w:tcPr>
            <w:tcW w:w="3482" w:type="pct"/>
            <w:tcBorders>
              <w:right w:val="double" w:color="auto" w:sz="4" w:space="0"/>
            </w:tcBorders>
            <w:vAlign w:val="center"/>
          </w:tcPr>
          <w:p w14:paraId="494E2F1F">
            <w:pPr>
              <w:widowControl/>
              <w:spacing w:line="360" w:lineRule="auto"/>
              <w:jc w:val="left"/>
              <w:rPr>
                <w:rFonts w:ascii="宋体" w:hAnsi="宋体" w:cs="宋体"/>
                <w:szCs w:val="21"/>
              </w:rPr>
            </w:pPr>
            <w:r>
              <w:rPr>
                <w:rFonts w:hint="eastAsia" w:ascii="宋体" w:hAnsi="宋体" w:cs="宋体"/>
                <w:szCs w:val="21"/>
              </w:rPr>
              <w:t>价格分采用低价优先法计算，即满足征集文件要求且投标价格最低的投标报价为评标基准价，其价格分为满分。其他投标供应商的价格分统一按照下列公式计算：</w:t>
            </w:r>
          </w:p>
          <w:p w14:paraId="4241CC93">
            <w:pPr>
              <w:widowControl/>
              <w:spacing w:line="360" w:lineRule="auto"/>
              <w:jc w:val="left"/>
              <w:rPr>
                <w:rFonts w:ascii="宋体" w:hAnsi="宋体" w:cs="宋体"/>
                <w:szCs w:val="21"/>
              </w:rPr>
            </w:pPr>
            <w:r>
              <w:rPr>
                <w:rFonts w:hint="eastAsia" w:ascii="宋体" w:hAnsi="宋体" w:cs="宋体"/>
                <w:szCs w:val="21"/>
              </w:rPr>
              <w:t>投标报价得分=(评标基准价／投标报价)×权重</w:t>
            </w:r>
          </w:p>
          <w:p w14:paraId="40CE4714">
            <w:pPr>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rPr>
              <w:t>备注：</w:t>
            </w:r>
          </w:p>
          <w:p w14:paraId="6CB8E9A4">
            <w:pPr>
              <w:adjustRightInd w:val="0"/>
              <w:snapToGrid w:val="0"/>
              <w:spacing w:line="360" w:lineRule="auto"/>
              <w:rPr>
                <w:rFonts w:ascii="宋体" w:hAnsi="宋体" w:cs="宋体"/>
                <w:bCs/>
                <w:snapToGrid w:val="0"/>
                <w:kern w:val="0"/>
                <w:szCs w:val="21"/>
              </w:rPr>
            </w:pPr>
            <w:r>
              <w:rPr>
                <w:rFonts w:hint="eastAsia" w:ascii="宋体" w:hAnsi="宋体" w:cs="宋体"/>
                <w:snapToGrid w:val="0"/>
                <w:kern w:val="0"/>
                <w:szCs w:val="21"/>
              </w:rPr>
              <w:t>1、因落实政府采购政策进行价格调整的，以调整后的价格计算评标基准价和投标报价</w:t>
            </w:r>
            <w:r>
              <w:rPr>
                <w:rFonts w:hint="eastAsia" w:ascii="宋体" w:hAnsi="宋体" w:cs="宋体"/>
                <w:bCs/>
                <w:snapToGrid w:val="0"/>
                <w:kern w:val="0"/>
                <w:szCs w:val="21"/>
              </w:rPr>
              <w:t>；</w:t>
            </w:r>
          </w:p>
          <w:p w14:paraId="3368DDB4">
            <w:pPr>
              <w:adjustRightInd w:val="0"/>
              <w:spacing w:line="360" w:lineRule="auto"/>
              <w:rPr>
                <w:rFonts w:ascii="宋体" w:hAnsi="宋体" w:cs="宋体"/>
                <w:kern w:val="0"/>
                <w:szCs w:val="21"/>
              </w:rPr>
            </w:pPr>
            <w:r>
              <w:rPr>
                <w:rFonts w:hint="eastAsia" w:ascii="宋体" w:hAnsi="宋体" w:cs="宋体"/>
                <w:snapToGrid w:val="0"/>
                <w:kern w:val="0"/>
                <w:szCs w:val="21"/>
              </w:rPr>
              <w:t>2、投标报价得分四舍五入后，小数点后保留两位有效数</w:t>
            </w:r>
            <w:r>
              <w:rPr>
                <w:rFonts w:hint="eastAsia" w:ascii="宋体" w:hAnsi="宋体" w:cs="宋体"/>
                <w:szCs w:val="21"/>
              </w:rPr>
              <w:t>。</w:t>
            </w:r>
          </w:p>
        </w:tc>
      </w:tr>
      <w:tr w14:paraId="1CBF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Merge w:val="restart"/>
            <w:tcBorders>
              <w:left w:val="double" w:color="auto" w:sz="4" w:space="0"/>
            </w:tcBorders>
            <w:vAlign w:val="center"/>
          </w:tcPr>
          <w:p w14:paraId="16A3CCBB">
            <w:pPr>
              <w:adjustRightIn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技术部分（J）</w:t>
            </w:r>
          </w:p>
          <w:p w14:paraId="39EF43E7">
            <w:pPr>
              <w:adjustRightIn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（总分45分）</w:t>
            </w:r>
          </w:p>
        </w:tc>
        <w:tc>
          <w:tcPr>
            <w:tcW w:w="621" w:type="pct"/>
            <w:vAlign w:val="center"/>
          </w:tcPr>
          <w:p w14:paraId="3328635A">
            <w:pPr>
              <w:widowControl/>
              <w:spacing w:line="360" w:lineRule="auto"/>
              <w:jc w:val="center"/>
              <w:rPr>
                <w:rFonts w:ascii="宋体" w:hAnsi="宋体" w:cs="宋体"/>
                <w:kern w:val="0"/>
                <w:szCs w:val="21"/>
              </w:rPr>
            </w:pPr>
            <w:r>
              <w:rPr>
                <w:rFonts w:hint="eastAsia" w:ascii="宋体" w:hAnsi="宋体" w:cs="宋体"/>
                <w:kern w:val="0"/>
                <w:szCs w:val="21"/>
              </w:rPr>
              <w:t>实施方案</w:t>
            </w:r>
          </w:p>
        </w:tc>
        <w:tc>
          <w:tcPr>
            <w:tcW w:w="367" w:type="pct"/>
            <w:vAlign w:val="center"/>
          </w:tcPr>
          <w:p w14:paraId="5C657802">
            <w:pPr>
              <w:widowControl/>
              <w:spacing w:line="360" w:lineRule="auto"/>
              <w:jc w:val="center"/>
              <w:rPr>
                <w:rFonts w:ascii="宋体" w:hAnsi="宋体" w:cs="宋体"/>
                <w:kern w:val="0"/>
                <w:szCs w:val="21"/>
              </w:rPr>
            </w:pPr>
            <w:r>
              <w:rPr>
                <w:rFonts w:hint="eastAsia" w:ascii="宋体" w:hAnsi="宋体" w:cs="宋体"/>
                <w:kern w:val="0"/>
                <w:szCs w:val="21"/>
              </w:rPr>
              <w:t>15</w:t>
            </w:r>
          </w:p>
        </w:tc>
        <w:tc>
          <w:tcPr>
            <w:tcW w:w="3482" w:type="pct"/>
            <w:tcBorders>
              <w:right w:val="double" w:color="auto" w:sz="4" w:space="0"/>
            </w:tcBorders>
            <w:vAlign w:val="center"/>
          </w:tcPr>
          <w:p w14:paraId="75D54C17">
            <w:pPr>
              <w:spacing w:line="360" w:lineRule="auto"/>
              <w:rPr>
                <w:rFonts w:ascii="宋体" w:hAnsi="宋体" w:cs="宋体"/>
                <w:szCs w:val="21"/>
              </w:rPr>
            </w:pPr>
            <w:r>
              <w:rPr>
                <w:rFonts w:hint="eastAsia" w:ascii="宋体" w:hAnsi="宋体" w:cs="宋体"/>
                <w:szCs w:val="21"/>
              </w:rPr>
              <w:t>（一）评分内容：</w:t>
            </w:r>
          </w:p>
          <w:p w14:paraId="654BA020">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根据本项目征集文件的用户需求，投标供应商制定符合本项目特点的实施方案，内容包括：</w:t>
            </w:r>
          </w:p>
          <w:p w14:paraId="200A6BD5">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1.对项目服务需求的理解；</w:t>
            </w:r>
          </w:p>
          <w:p w14:paraId="69EC3287">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2.项目实施计划；</w:t>
            </w:r>
          </w:p>
          <w:p w14:paraId="6A842AE0">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3.项目管理服务承诺。</w:t>
            </w:r>
          </w:p>
          <w:p w14:paraId="159518F0">
            <w:pPr>
              <w:autoSpaceDE w:val="0"/>
              <w:autoSpaceDN w:val="0"/>
              <w:adjustRightInd w:val="0"/>
              <w:spacing w:line="360" w:lineRule="auto"/>
              <w:jc w:val="left"/>
              <w:rPr>
                <w:rFonts w:ascii="宋体" w:hAnsi="宋体" w:cs="宋体"/>
                <w:kern w:val="0"/>
                <w:szCs w:val="21"/>
              </w:rPr>
            </w:pPr>
          </w:p>
          <w:p w14:paraId="718FA59F">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（二）评分标准：</w:t>
            </w:r>
          </w:p>
          <w:p w14:paraId="66BA07D7">
            <w:pPr>
              <w:spacing w:line="360" w:lineRule="auto"/>
              <w:rPr>
                <w:rFonts w:ascii="宋体" w:hAnsi="宋体" w:cs="宋体"/>
                <w:kern w:val="0"/>
                <w:szCs w:val="21"/>
              </w:rPr>
            </w:pPr>
            <w:r>
              <w:rPr>
                <w:rFonts w:hint="eastAsia" w:ascii="宋体" w:hAnsi="宋体" w:cs="宋体"/>
                <w:kern w:val="0"/>
                <w:szCs w:val="21"/>
              </w:rPr>
              <w:t>方案包含以上三项内容得8分；包含以上二项内容得5分；包含以上一项内容得2分；其他情况不得分。在此基础上，根据方案响应情况进一步评审：</w:t>
            </w:r>
          </w:p>
          <w:p w14:paraId="20B85121">
            <w:pPr>
              <w:spacing w:line="360" w:lineRule="auto"/>
              <w:rPr>
                <w:rFonts w:ascii="宋体" w:hAnsi="宋体" w:cs="宋体"/>
                <w:kern w:val="0"/>
                <w:szCs w:val="21"/>
              </w:rPr>
            </w:pPr>
            <w:r>
              <w:rPr>
                <w:rFonts w:hint="eastAsia" w:ascii="宋体" w:hAnsi="宋体" w:cs="宋体"/>
                <w:kern w:val="0"/>
                <w:szCs w:val="21"/>
              </w:rPr>
              <w:t>1.需求理解全面、具体，实施计划可行性高，服务承诺科学合理的，加7分；</w:t>
            </w:r>
          </w:p>
          <w:p w14:paraId="25BB643B">
            <w:pPr>
              <w:spacing w:line="360" w:lineRule="auto"/>
              <w:rPr>
                <w:rFonts w:ascii="宋体" w:hAnsi="宋体" w:cs="宋体"/>
                <w:kern w:val="0"/>
                <w:szCs w:val="21"/>
              </w:rPr>
            </w:pPr>
            <w:r>
              <w:rPr>
                <w:rFonts w:hint="eastAsia" w:ascii="宋体" w:hAnsi="宋体" w:cs="宋体"/>
                <w:kern w:val="0"/>
                <w:szCs w:val="21"/>
              </w:rPr>
              <w:t>2.需求理解比较全面，实施计划可行性较高，服务承诺较合理的，加4分；</w:t>
            </w:r>
          </w:p>
          <w:p w14:paraId="326CB799">
            <w:pPr>
              <w:spacing w:line="360" w:lineRule="auto"/>
              <w:rPr>
                <w:rFonts w:ascii="宋体" w:hAnsi="宋体" w:cs="宋体"/>
                <w:kern w:val="0"/>
                <w:szCs w:val="21"/>
              </w:rPr>
            </w:pPr>
            <w:r>
              <w:rPr>
                <w:rFonts w:hint="eastAsia" w:ascii="宋体" w:hAnsi="宋体" w:cs="宋体"/>
                <w:kern w:val="0"/>
                <w:szCs w:val="21"/>
              </w:rPr>
              <w:t>3.需求理解不够全面，实施计划可行性一般，服务承诺不够合理的，加1分；</w:t>
            </w:r>
          </w:p>
          <w:p w14:paraId="79E12009">
            <w:pPr>
              <w:spacing w:line="360" w:lineRule="auto"/>
              <w:rPr>
                <w:rFonts w:ascii="宋体" w:hAnsi="宋体" w:cs="宋体"/>
                <w:kern w:val="0"/>
                <w:szCs w:val="21"/>
              </w:rPr>
            </w:pPr>
            <w:r>
              <w:rPr>
                <w:rFonts w:hint="eastAsia" w:ascii="宋体" w:hAnsi="宋体" w:cs="宋体"/>
                <w:kern w:val="0"/>
                <w:szCs w:val="21"/>
              </w:rPr>
              <w:t>4.需求理解不全面，实施计划可行性低，服务承诺不合理的，不加分。</w:t>
            </w:r>
          </w:p>
        </w:tc>
      </w:tr>
      <w:tr w14:paraId="12C7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Merge w:val="continue"/>
            <w:tcBorders>
              <w:left w:val="double" w:color="auto" w:sz="4" w:space="0"/>
            </w:tcBorders>
            <w:vAlign w:val="center"/>
          </w:tcPr>
          <w:p w14:paraId="59DA6466">
            <w:pPr>
              <w:adjustRightInd w:val="0"/>
              <w:spacing w:line="360" w:lineRule="auto"/>
              <w:jc w:val="center"/>
              <w:rPr>
                <w:rFonts w:ascii="宋体" w:hAnsi="宋体" w:cs="宋体"/>
                <w:b/>
                <w:bCs/>
                <w:snapToGrid w:val="0"/>
                <w:kern w:val="0"/>
                <w:szCs w:val="21"/>
              </w:rPr>
            </w:pPr>
          </w:p>
        </w:tc>
        <w:tc>
          <w:tcPr>
            <w:tcW w:w="621" w:type="pct"/>
            <w:vAlign w:val="center"/>
          </w:tcPr>
          <w:p w14:paraId="13983024">
            <w:pPr>
              <w:widowControl/>
              <w:spacing w:line="360" w:lineRule="auto"/>
              <w:jc w:val="center"/>
              <w:rPr>
                <w:rFonts w:ascii="宋体" w:hAnsi="宋体" w:cs="宋体"/>
                <w:kern w:val="0"/>
                <w:szCs w:val="21"/>
              </w:rPr>
            </w:pPr>
            <w:r>
              <w:rPr>
                <w:rFonts w:hint="eastAsia" w:ascii="宋体" w:hAnsi="宋体" w:cs="宋体"/>
                <w:szCs w:val="21"/>
              </w:rPr>
              <w:t>项目重点难点分析、应对措施及相关的合理化建议</w:t>
            </w:r>
          </w:p>
        </w:tc>
        <w:tc>
          <w:tcPr>
            <w:tcW w:w="367" w:type="pct"/>
            <w:vAlign w:val="center"/>
          </w:tcPr>
          <w:p w14:paraId="3335E043">
            <w:pPr>
              <w:widowControl/>
              <w:spacing w:line="360" w:lineRule="auto"/>
              <w:jc w:val="center"/>
              <w:rPr>
                <w:rFonts w:ascii="宋体" w:hAnsi="宋体" w:cs="宋体"/>
                <w:kern w:val="0"/>
                <w:szCs w:val="21"/>
              </w:rPr>
            </w:pPr>
            <w:r>
              <w:rPr>
                <w:rFonts w:hint="eastAsia" w:ascii="宋体" w:hAnsi="宋体" w:cs="宋体"/>
                <w:szCs w:val="21"/>
              </w:rPr>
              <w:t>15</w:t>
            </w:r>
          </w:p>
        </w:tc>
        <w:tc>
          <w:tcPr>
            <w:tcW w:w="3482" w:type="pct"/>
            <w:tcBorders>
              <w:right w:val="double" w:color="auto" w:sz="4" w:space="0"/>
            </w:tcBorders>
            <w:vAlign w:val="center"/>
          </w:tcPr>
          <w:p w14:paraId="0A743A3B">
            <w:pPr>
              <w:spacing w:line="360" w:lineRule="auto"/>
              <w:rPr>
                <w:rFonts w:ascii="宋体" w:hAnsi="宋体" w:cs="宋体"/>
                <w:szCs w:val="21"/>
              </w:rPr>
            </w:pPr>
            <w:r>
              <w:rPr>
                <w:rFonts w:hint="eastAsia" w:ascii="宋体" w:hAnsi="宋体" w:cs="宋体"/>
                <w:szCs w:val="21"/>
              </w:rPr>
              <w:t>（一）评分内容：</w:t>
            </w:r>
          </w:p>
          <w:p w14:paraId="397AC19E">
            <w:pPr>
              <w:autoSpaceDE w:val="0"/>
              <w:autoSpaceDN w:val="0"/>
              <w:adjustRightInd w:val="0"/>
              <w:spacing w:line="360" w:lineRule="auto"/>
              <w:rPr>
                <w:rFonts w:ascii="宋体" w:hAnsi="宋体" w:cs="宋体"/>
                <w:szCs w:val="21"/>
              </w:rPr>
            </w:pPr>
            <w:r>
              <w:rPr>
                <w:rFonts w:hint="eastAsia" w:ascii="宋体" w:hAnsi="宋体" w:cs="宋体"/>
                <w:szCs w:val="21"/>
              </w:rPr>
              <w:t>根据本项目征集文件的用户需求，投标供应商制定符合本项目特点的项目重点难点分析、应对措施及相关的合理化建议，内容包括：</w:t>
            </w:r>
          </w:p>
          <w:p w14:paraId="16DE1845">
            <w:pPr>
              <w:autoSpaceDE w:val="0"/>
              <w:autoSpaceDN w:val="0"/>
              <w:adjustRightInd w:val="0"/>
              <w:spacing w:line="360" w:lineRule="auto"/>
              <w:rPr>
                <w:rFonts w:ascii="宋体" w:hAnsi="宋体" w:cs="宋体"/>
                <w:szCs w:val="21"/>
              </w:rPr>
            </w:pPr>
            <w:r>
              <w:rPr>
                <w:rFonts w:hint="eastAsia" w:ascii="宋体" w:hAnsi="宋体" w:cs="宋体"/>
                <w:szCs w:val="21"/>
              </w:rPr>
              <w:t>1.项目重点难点分析；</w:t>
            </w:r>
          </w:p>
          <w:p w14:paraId="16844B0B">
            <w:pPr>
              <w:autoSpaceDE w:val="0"/>
              <w:autoSpaceDN w:val="0"/>
              <w:adjustRightInd w:val="0"/>
              <w:spacing w:line="360" w:lineRule="auto"/>
              <w:rPr>
                <w:rFonts w:ascii="宋体" w:hAnsi="宋体" w:cs="宋体"/>
                <w:szCs w:val="21"/>
              </w:rPr>
            </w:pPr>
            <w:r>
              <w:rPr>
                <w:rFonts w:hint="eastAsia" w:ascii="宋体" w:hAnsi="宋体" w:cs="宋体"/>
                <w:szCs w:val="21"/>
              </w:rPr>
              <w:t>2.针对项目重点难点逐项提出应对措施；</w:t>
            </w:r>
          </w:p>
          <w:p w14:paraId="2CFBFAEE">
            <w:pPr>
              <w:autoSpaceDE w:val="0"/>
              <w:autoSpaceDN w:val="0"/>
              <w:adjustRightInd w:val="0"/>
              <w:spacing w:line="360" w:lineRule="auto"/>
              <w:rPr>
                <w:rFonts w:ascii="宋体" w:hAnsi="宋体" w:cs="宋体"/>
                <w:szCs w:val="21"/>
              </w:rPr>
            </w:pPr>
            <w:r>
              <w:rPr>
                <w:rFonts w:hint="eastAsia" w:ascii="宋体" w:hAnsi="宋体" w:cs="宋体"/>
                <w:szCs w:val="21"/>
              </w:rPr>
              <w:t>3.相关的合理化建议。</w:t>
            </w:r>
          </w:p>
          <w:p w14:paraId="334A9B54">
            <w:pPr>
              <w:widowControl/>
              <w:snapToGrid w:val="0"/>
              <w:spacing w:line="360" w:lineRule="auto"/>
              <w:jc w:val="left"/>
              <w:rPr>
                <w:rFonts w:ascii="宋体" w:hAnsi="宋体" w:cs="宋体"/>
                <w:szCs w:val="21"/>
              </w:rPr>
            </w:pPr>
          </w:p>
          <w:p w14:paraId="0F7F7292">
            <w:pPr>
              <w:widowControl/>
              <w:snapToGrid w:val="0"/>
              <w:spacing w:line="360" w:lineRule="auto"/>
              <w:jc w:val="left"/>
              <w:rPr>
                <w:rFonts w:ascii="宋体" w:hAnsi="宋体" w:cs="宋体"/>
                <w:szCs w:val="21"/>
              </w:rPr>
            </w:pPr>
            <w:r>
              <w:rPr>
                <w:rFonts w:hint="eastAsia" w:ascii="宋体" w:hAnsi="宋体" w:cs="宋体"/>
                <w:szCs w:val="21"/>
              </w:rPr>
              <w:t>（二）评分标准：</w:t>
            </w:r>
          </w:p>
          <w:p w14:paraId="0408E4A0">
            <w:pPr>
              <w:pStyle w:val="2"/>
              <w:spacing w:after="0" w:line="360" w:lineRule="auto"/>
              <w:rPr>
                <w:rFonts w:ascii="宋体" w:hAnsi="宋体" w:cs="宋体"/>
                <w:szCs w:val="21"/>
              </w:rPr>
            </w:pPr>
            <w:r>
              <w:rPr>
                <w:rFonts w:hint="eastAsia" w:ascii="宋体" w:hAnsi="宋体" w:cs="宋体"/>
                <w:szCs w:val="21"/>
              </w:rPr>
              <w:t>方案包含以上三项内容得8分；包含以上二项内容得5分；包含以上一项内容得2分；其他情况不得分。在此基础上，根据方案响应情况进一步评审：</w:t>
            </w:r>
          </w:p>
          <w:p w14:paraId="5755C68A">
            <w:pPr>
              <w:pStyle w:val="2"/>
              <w:spacing w:after="0" w:line="360" w:lineRule="auto"/>
              <w:rPr>
                <w:rFonts w:ascii="宋体" w:hAnsi="宋体" w:cs="宋体"/>
                <w:szCs w:val="21"/>
              </w:rPr>
            </w:pPr>
            <w:r>
              <w:rPr>
                <w:rFonts w:hint="eastAsia" w:ascii="宋体" w:hAnsi="宋体" w:cs="宋体"/>
                <w:szCs w:val="21"/>
              </w:rPr>
              <w:t>1.重点难点分析全面，应对措施可行性高，相关建议科学合理的，加7分；</w:t>
            </w:r>
          </w:p>
          <w:p w14:paraId="42A1B4F2">
            <w:pPr>
              <w:pStyle w:val="2"/>
              <w:spacing w:after="0" w:line="360" w:lineRule="auto"/>
              <w:rPr>
                <w:rFonts w:ascii="宋体" w:hAnsi="宋体" w:cs="宋体"/>
                <w:szCs w:val="21"/>
              </w:rPr>
            </w:pPr>
            <w:r>
              <w:rPr>
                <w:rFonts w:hint="eastAsia" w:ascii="宋体" w:hAnsi="宋体" w:cs="宋体"/>
                <w:szCs w:val="21"/>
              </w:rPr>
              <w:t>2.重点难点分析比较全面，应对措施可行性较高，相关建议比较合理的，加4分；</w:t>
            </w:r>
          </w:p>
          <w:p w14:paraId="1E6958B4">
            <w:pPr>
              <w:pStyle w:val="2"/>
              <w:spacing w:after="0" w:line="360" w:lineRule="auto"/>
              <w:rPr>
                <w:rFonts w:ascii="宋体" w:hAnsi="宋体" w:cs="宋体"/>
                <w:szCs w:val="21"/>
              </w:rPr>
            </w:pPr>
            <w:r>
              <w:rPr>
                <w:rFonts w:hint="eastAsia" w:ascii="宋体" w:hAnsi="宋体" w:cs="宋体"/>
                <w:szCs w:val="21"/>
              </w:rPr>
              <w:t>3.重点难点分析不够全面，应对措施可行性一般，相关建议不够合理的，加1分；</w:t>
            </w:r>
          </w:p>
          <w:p w14:paraId="41F91CDB">
            <w:pPr>
              <w:pStyle w:val="2"/>
              <w:spacing w:after="0" w:line="360" w:lineRule="auto"/>
              <w:rPr>
                <w:rFonts w:ascii="宋体" w:hAnsi="宋体" w:cs="宋体"/>
                <w:szCs w:val="21"/>
              </w:rPr>
            </w:pPr>
            <w:r>
              <w:rPr>
                <w:rFonts w:hint="eastAsia" w:ascii="宋体" w:hAnsi="宋体" w:cs="宋体"/>
                <w:szCs w:val="21"/>
              </w:rPr>
              <w:t>4.重点难点分析不全面，应对措施可行性低，相关建议不合理的，不加分。</w:t>
            </w:r>
          </w:p>
        </w:tc>
      </w:tr>
      <w:tr w14:paraId="029F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Merge w:val="continue"/>
            <w:tcBorders>
              <w:left w:val="double" w:color="auto" w:sz="4" w:space="0"/>
            </w:tcBorders>
            <w:vAlign w:val="center"/>
          </w:tcPr>
          <w:p w14:paraId="337A2B6B">
            <w:pPr>
              <w:adjustRightInd w:val="0"/>
              <w:spacing w:line="360" w:lineRule="auto"/>
              <w:jc w:val="center"/>
              <w:rPr>
                <w:rFonts w:ascii="宋体" w:hAnsi="宋体" w:cs="宋体"/>
                <w:b/>
                <w:bCs/>
                <w:snapToGrid w:val="0"/>
                <w:kern w:val="0"/>
                <w:szCs w:val="21"/>
              </w:rPr>
            </w:pPr>
          </w:p>
        </w:tc>
        <w:tc>
          <w:tcPr>
            <w:tcW w:w="621" w:type="pct"/>
            <w:vAlign w:val="center"/>
          </w:tcPr>
          <w:p w14:paraId="3E4B3937">
            <w:pPr>
              <w:widowControl/>
              <w:spacing w:line="360" w:lineRule="auto"/>
              <w:jc w:val="center"/>
              <w:rPr>
                <w:rFonts w:ascii="宋体" w:hAnsi="宋体" w:cs="宋体"/>
                <w:kern w:val="0"/>
                <w:szCs w:val="21"/>
              </w:rPr>
            </w:pPr>
            <w:r>
              <w:rPr>
                <w:rFonts w:hint="eastAsia" w:ascii="宋体" w:hAnsi="宋体" w:cs="宋体"/>
                <w:kern w:val="0"/>
                <w:szCs w:val="21"/>
              </w:rPr>
              <w:t>质量保障措施</w:t>
            </w:r>
          </w:p>
        </w:tc>
        <w:tc>
          <w:tcPr>
            <w:tcW w:w="367" w:type="pct"/>
            <w:vAlign w:val="center"/>
          </w:tcPr>
          <w:p w14:paraId="35E9AA30">
            <w:pPr>
              <w:widowControl/>
              <w:spacing w:line="360" w:lineRule="auto"/>
              <w:jc w:val="center"/>
              <w:rPr>
                <w:rFonts w:ascii="宋体" w:hAnsi="宋体" w:cs="宋体"/>
                <w:kern w:val="0"/>
                <w:szCs w:val="21"/>
              </w:rPr>
            </w:pPr>
            <w:r>
              <w:rPr>
                <w:rFonts w:hint="eastAsia" w:ascii="宋体" w:hAnsi="宋体" w:cs="宋体"/>
                <w:kern w:val="0"/>
                <w:szCs w:val="21"/>
              </w:rPr>
              <w:t>15</w:t>
            </w:r>
          </w:p>
        </w:tc>
        <w:tc>
          <w:tcPr>
            <w:tcW w:w="3482" w:type="pct"/>
            <w:tcBorders>
              <w:right w:val="double" w:color="auto" w:sz="4" w:space="0"/>
            </w:tcBorders>
            <w:vAlign w:val="center"/>
          </w:tcPr>
          <w:p w14:paraId="25E2B043">
            <w:pPr>
              <w:spacing w:line="360" w:lineRule="auto"/>
              <w:rPr>
                <w:rFonts w:ascii="宋体" w:hAnsi="宋体" w:cs="宋体"/>
                <w:szCs w:val="21"/>
              </w:rPr>
            </w:pPr>
            <w:r>
              <w:rPr>
                <w:rFonts w:hint="eastAsia" w:ascii="宋体" w:hAnsi="宋体" w:cs="宋体"/>
                <w:szCs w:val="21"/>
              </w:rPr>
              <w:t>（一）评分内容：</w:t>
            </w:r>
          </w:p>
          <w:p w14:paraId="62A04FF3">
            <w:pPr>
              <w:spacing w:line="360" w:lineRule="auto"/>
              <w:rPr>
                <w:rFonts w:ascii="宋体" w:hAnsi="宋体" w:cs="宋体"/>
                <w:szCs w:val="21"/>
              </w:rPr>
            </w:pPr>
            <w:r>
              <w:rPr>
                <w:rFonts w:hint="eastAsia" w:ascii="宋体" w:hAnsi="宋体" w:cs="宋体"/>
                <w:szCs w:val="21"/>
              </w:rPr>
              <w:t>考察投标人提供的质量保障措施及方案，包含以下内容：</w:t>
            </w:r>
          </w:p>
          <w:p w14:paraId="5C3AAD91">
            <w:pPr>
              <w:spacing w:line="360" w:lineRule="auto"/>
              <w:rPr>
                <w:rFonts w:ascii="宋体" w:hAnsi="宋体" w:cs="宋体"/>
                <w:szCs w:val="21"/>
              </w:rPr>
            </w:pPr>
            <w:r>
              <w:rPr>
                <w:rFonts w:hint="eastAsia" w:ascii="宋体" w:hAnsi="宋体" w:cs="宋体"/>
                <w:szCs w:val="21"/>
              </w:rPr>
              <w:t>1.项目质量管理制度；</w:t>
            </w:r>
          </w:p>
          <w:p w14:paraId="46500601">
            <w:pPr>
              <w:spacing w:line="360" w:lineRule="auto"/>
              <w:rPr>
                <w:rFonts w:ascii="宋体" w:hAnsi="宋体" w:cs="宋体"/>
                <w:szCs w:val="21"/>
              </w:rPr>
            </w:pPr>
            <w:r>
              <w:rPr>
                <w:rFonts w:hint="eastAsia" w:ascii="宋体" w:hAnsi="宋体" w:cs="宋体"/>
                <w:szCs w:val="21"/>
              </w:rPr>
              <w:t>2.服务质量检查、整改方案；</w:t>
            </w:r>
          </w:p>
          <w:p w14:paraId="52E73738">
            <w:pPr>
              <w:spacing w:line="360" w:lineRule="auto"/>
              <w:rPr>
                <w:rFonts w:ascii="宋体" w:hAnsi="宋体" w:cs="宋体"/>
                <w:szCs w:val="21"/>
              </w:rPr>
            </w:pPr>
            <w:r>
              <w:rPr>
                <w:rFonts w:hint="eastAsia" w:ascii="宋体" w:hAnsi="宋体" w:cs="宋体"/>
                <w:szCs w:val="21"/>
              </w:rPr>
              <w:t>3.应急保障措施。</w:t>
            </w:r>
          </w:p>
          <w:p w14:paraId="5672CE85">
            <w:pPr>
              <w:spacing w:line="360" w:lineRule="auto"/>
              <w:rPr>
                <w:rFonts w:ascii="宋体" w:hAnsi="宋体" w:cs="宋体"/>
                <w:szCs w:val="21"/>
              </w:rPr>
            </w:pPr>
          </w:p>
          <w:p w14:paraId="0420DA4D">
            <w:pPr>
              <w:spacing w:line="360" w:lineRule="auto"/>
              <w:rPr>
                <w:rFonts w:ascii="宋体" w:hAnsi="宋体" w:cs="宋体"/>
                <w:szCs w:val="21"/>
              </w:rPr>
            </w:pPr>
            <w:r>
              <w:rPr>
                <w:rFonts w:hint="eastAsia" w:ascii="宋体" w:hAnsi="宋体" w:cs="宋体"/>
                <w:szCs w:val="21"/>
              </w:rPr>
              <w:t>（二）评分标准：</w:t>
            </w:r>
          </w:p>
          <w:p w14:paraId="00ED9DC7">
            <w:pPr>
              <w:spacing w:line="360" w:lineRule="auto"/>
              <w:rPr>
                <w:rFonts w:ascii="宋体" w:hAnsi="宋体" w:cs="宋体"/>
                <w:szCs w:val="21"/>
              </w:rPr>
            </w:pPr>
            <w:r>
              <w:rPr>
                <w:rFonts w:hint="eastAsia" w:ascii="宋体" w:hAnsi="宋体" w:cs="宋体"/>
                <w:szCs w:val="21"/>
              </w:rPr>
              <w:t>方案包含以上三项内容得8分；包含以上二项内容得5分；包含以上一项内容得2分；其他情况不得分。在此基础上，根据方案响应情况进一步评审：</w:t>
            </w:r>
          </w:p>
          <w:p w14:paraId="1685EADB">
            <w:pPr>
              <w:spacing w:line="360" w:lineRule="auto"/>
              <w:rPr>
                <w:rFonts w:ascii="宋体" w:hAnsi="宋体" w:cs="宋体"/>
                <w:szCs w:val="21"/>
              </w:rPr>
            </w:pPr>
            <w:r>
              <w:rPr>
                <w:rFonts w:hint="eastAsia" w:ascii="宋体" w:hAnsi="宋体" w:cs="宋体"/>
                <w:szCs w:val="21"/>
              </w:rPr>
              <w:t>1.质量管理制度科学完善，质量检查、整改方案和应急保障措施可行性高的，加7分；</w:t>
            </w:r>
          </w:p>
          <w:p w14:paraId="07E94E28">
            <w:pPr>
              <w:spacing w:line="360" w:lineRule="auto"/>
              <w:rPr>
                <w:rFonts w:ascii="宋体" w:hAnsi="宋体" w:cs="宋体"/>
                <w:szCs w:val="21"/>
              </w:rPr>
            </w:pPr>
            <w:r>
              <w:rPr>
                <w:rFonts w:hint="eastAsia" w:ascii="宋体" w:hAnsi="宋体" w:cs="宋体"/>
                <w:szCs w:val="21"/>
              </w:rPr>
              <w:t>2.质量管理制度比较完善，质量检查、整改方案和应急保障措施可行性较高的，加4分；</w:t>
            </w:r>
          </w:p>
          <w:p w14:paraId="6BE856CF">
            <w:pPr>
              <w:spacing w:line="360" w:lineRule="auto"/>
              <w:rPr>
                <w:rFonts w:ascii="宋体" w:hAnsi="宋体" w:cs="宋体"/>
                <w:szCs w:val="21"/>
              </w:rPr>
            </w:pPr>
            <w:r>
              <w:rPr>
                <w:rFonts w:hint="eastAsia" w:ascii="宋体" w:hAnsi="宋体" w:cs="宋体"/>
                <w:szCs w:val="21"/>
              </w:rPr>
              <w:t>3.质量管理制度不够完善，质量检查、整改方案和应急保障措施可行性一般的，加1分；</w:t>
            </w:r>
          </w:p>
          <w:p w14:paraId="307D675A">
            <w:pPr>
              <w:widowControl/>
              <w:snapToGrid w:val="0"/>
              <w:spacing w:line="360" w:lineRule="auto"/>
              <w:jc w:val="left"/>
              <w:rPr>
                <w:rFonts w:ascii="宋体" w:hAnsi="宋体" w:cs="宋体"/>
                <w:kern w:val="0"/>
                <w:szCs w:val="21"/>
              </w:rPr>
            </w:pPr>
            <w:r>
              <w:rPr>
                <w:rFonts w:hint="eastAsia" w:ascii="宋体" w:hAnsi="宋体" w:cs="宋体"/>
                <w:szCs w:val="21"/>
              </w:rPr>
              <w:t>4.质量管理制度不完善，质量检查、整改方案和应急保障措施可行性低的，不加分。</w:t>
            </w:r>
          </w:p>
        </w:tc>
      </w:tr>
      <w:tr w14:paraId="607C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528" w:type="pct"/>
            <w:vMerge w:val="restart"/>
            <w:tcBorders>
              <w:left w:val="double" w:color="auto" w:sz="4" w:space="0"/>
            </w:tcBorders>
            <w:vAlign w:val="center"/>
          </w:tcPr>
          <w:p w14:paraId="3D4D8B6A">
            <w:pPr>
              <w:adjustRightIn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商务部分（S）</w:t>
            </w:r>
          </w:p>
          <w:p w14:paraId="78519DC6">
            <w:pPr>
              <w:adjustRightIn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（总分15分）</w:t>
            </w:r>
          </w:p>
        </w:tc>
        <w:tc>
          <w:tcPr>
            <w:tcW w:w="621" w:type="pct"/>
            <w:vAlign w:val="center"/>
          </w:tcPr>
          <w:p w14:paraId="40C7841A">
            <w:pPr>
              <w:adjustRightInd w:val="0"/>
              <w:snapToGrid w:val="0"/>
              <w:spacing w:line="360" w:lineRule="auto"/>
              <w:jc w:val="center"/>
              <w:rPr>
                <w:rFonts w:ascii="宋体" w:hAnsi="宋体" w:cs="宋体"/>
                <w:color w:val="000000"/>
                <w:kern w:val="0"/>
                <w:szCs w:val="21"/>
              </w:rPr>
            </w:pPr>
            <w:r>
              <w:rPr>
                <w:rFonts w:hint="eastAsia" w:ascii="宋体" w:hAnsi="宋体" w:cs="宋体"/>
                <w:color w:val="000000" w:themeColor="text1"/>
                <w:szCs w:val="21"/>
                <w14:textFill>
                  <w14:solidFill>
                    <w14:schemeClr w14:val="tx1"/>
                  </w14:solidFill>
                </w14:textFill>
              </w:rPr>
              <w:t>同类项目业绩情况</w:t>
            </w:r>
          </w:p>
        </w:tc>
        <w:tc>
          <w:tcPr>
            <w:tcW w:w="367" w:type="pct"/>
            <w:tcBorders>
              <w:right w:val="single" w:color="auto" w:sz="4" w:space="0"/>
            </w:tcBorders>
            <w:vAlign w:val="center"/>
          </w:tcPr>
          <w:p w14:paraId="2DCFABE1">
            <w:pPr>
              <w:adjustRightInd w:val="0"/>
              <w:snapToGrid w:val="0"/>
              <w:spacing w:line="360" w:lineRule="auto"/>
              <w:jc w:val="center"/>
              <w:rPr>
                <w:rFonts w:ascii="宋体" w:hAnsi="宋体" w:cs="宋体"/>
                <w:snapToGrid w:val="0"/>
                <w:kern w:val="0"/>
                <w:szCs w:val="21"/>
              </w:rPr>
            </w:pPr>
            <w:r>
              <w:rPr>
                <w:rFonts w:hint="eastAsia" w:ascii="宋体" w:hAnsi="宋体" w:cs="宋体"/>
                <w:snapToGrid w:val="0"/>
                <w:kern w:val="0"/>
                <w:szCs w:val="21"/>
              </w:rPr>
              <w:t>10</w:t>
            </w:r>
          </w:p>
        </w:tc>
        <w:tc>
          <w:tcPr>
            <w:tcW w:w="3482" w:type="pct"/>
            <w:tcBorders>
              <w:left w:val="single" w:color="auto" w:sz="4" w:space="0"/>
              <w:right w:val="double" w:color="auto" w:sz="4" w:space="0"/>
            </w:tcBorders>
            <w:vAlign w:val="center"/>
          </w:tcPr>
          <w:p w14:paraId="75D853CE">
            <w:pPr>
              <w:spacing w:line="360" w:lineRule="auto"/>
              <w:rPr>
                <w:rFonts w:ascii="宋体" w:hAnsi="宋体" w:cs="宋体"/>
                <w:szCs w:val="21"/>
              </w:rPr>
            </w:pPr>
            <w:r>
              <w:rPr>
                <w:rFonts w:hint="eastAsia" w:ascii="宋体" w:hAnsi="宋体" w:cs="宋体"/>
                <w:szCs w:val="21"/>
              </w:rPr>
              <w:t>（一）评分内容：</w:t>
            </w:r>
          </w:p>
          <w:p w14:paraId="4C1A821E">
            <w:pPr>
              <w:pStyle w:val="9"/>
              <w:spacing w:line="360" w:lineRule="auto"/>
              <w:rPr>
                <w:rFonts w:ascii="宋体" w:hAnsi="宋体" w:cs="宋体"/>
                <w:szCs w:val="21"/>
              </w:rPr>
            </w:pPr>
            <w:r>
              <w:rPr>
                <w:rFonts w:hint="eastAsia" w:ascii="宋体" w:hAnsi="宋体" w:cs="宋体"/>
                <w:szCs w:val="21"/>
              </w:rPr>
              <w:t>2019年1月1日至本项目投标截止日（以合同签订日期为准），投标供应商具有同类项目业绩</w:t>
            </w:r>
            <w:r>
              <w:rPr>
                <w:rFonts w:hint="eastAsia" w:ascii="宋体" w:hAnsi="宋体" w:cs="宋体"/>
                <w:szCs w:val="21"/>
                <w:lang w:eastAsia="zh-CN"/>
              </w:rPr>
              <w:t>（布草洗涤服务</w:t>
            </w:r>
            <w:r>
              <w:rPr>
                <w:rFonts w:hint="eastAsia" w:ascii="宋体" w:hAnsi="宋体" w:cs="宋体"/>
                <w:szCs w:val="21"/>
                <w:lang w:val="en-US" w:eastAsia="zh-CN"/>
              </w:rPr>
              <w:t>类</w:t>
            </w:r>
            <w:r>
              <w:rPr>
                <w:rFonts w:hint="eastAsia" w:ascii="宋体" w:hAnsi="宋体" w:cs="宋体"/>
                <w:szCs w:val="21"/>
                <w:lang w:eastAsia="zh-CN"/>
              </w:rPr>
              <w:t>）</w:t>
            </w:r>
            <w:r>
              <w:rPr>
                <w:rFonts w:hint="eastAsia" w:ascii="宋体" w:hAnsi="宋体" w:cs="宋体"/>
                <w:szCs w:val="21"/>
              </w:rPr>
              <w:t>的，每提供1个项目业绩得3.4分，最高得10分。同一项目续签合同的不可重复得分。</w:t>
            </w:r>
          </w:p>
          <w:p w14:paraId="4C562978">
            <w:pPr>
              <w:adjustRightInd w:val="0"/>
              <w:snapToGrid w:val="0"/>
              <w:spacing w:line="360" w:lineRule="auto"/>
              <w:jc w:val="left"/>
              <w:rPr>
                <w:rFonts w:ascii="宋体" w:hAnsi="宋体" w:cs="宋体"/>
                <w:kern w:val="0"/>
                <w:szCs w:val="21"/>
              </w:rPr>
            </w:pPr>
          </w:p>
          <w:p w14:paraId="789DBA82">
            <w:pPr>
              <w:adjustRightInd w:val="0"/>
              <w:snapToGrid w:val="0"/>
              <w:spacing w:line="360" w:lineRule="auto"/>
              <w:jc w:val="left"/>
              <w:rPr>
                <w:rFonts w:ascii="宋体" w:hAnsi="宋体" w:cs="宋体"/>
                <w:kern w:val="0"/>
                <w:szCs w:val="21"/>
              </w:rPr>
            </w:pPr>
            <w:r>
              <w:rPr>
                <w:rFonts w:hint="eastAsia" w:ascii="宋体" w:hAnsi="宋体" w:cs="宋体"/>
                <w:kern w:val="0"/>
                <w:szCs w:val="21"/>
              </w:rPr>
              <w:t>（二）评分依据：</w:t>
            </w:r>
          </w:p>
          <w:p w14:paraId="1D66629A">
            <w:pPr>
              <w:adjustRightInd w:val="0"/>
              <w:snapToGrid w:val="0"/>
              <w:spacing w:line="360" w:lineRule="auto"/>
              <w:rPr>
                <w:rFonts w:ascii="宋体" w:hAnsi="宋体" w:cs="宋体"/>
                <w:szCs w:val="21"/>
              </w:rPr>
            </w:pPr>
            <w:r>
              <w:rPr>
                <w:rFonts w:hint="eastAsia" w:ascii="宋体" w:hAnsi="宋体" w:cs="宋体"/>
                <w:szCs w:val="21"/>
              </w:rPr>
              <w:t>1.提供合同关键页（</w:t>
            </w:r>
            <w:r>
              <w:rPr>
                <w:rFonts w:hint="eastAsia" w:ascii="宋体" w:hAnsi="宋体" w:cs="宋体"/>
                <w:bCs/>
                <w:szCs w:val="21"/>
              </w:rPr>
              <w:t>提供的材料各项信息不得有任何遮挡</w:t>
            </w:r>
            <w:r>
              <w:rPr>
                <w:rFonts w:hint="eastAsia" w:ascii="宋体" w:hAnsi="宋体" w:cs="宋体"/>
                <w:szCs w:val="21"/>
              </w:rPr>
              <w:t>）作为评分依据；</w:t>
            </w:r>
          </w:p>
          <w:p w14:paraId="439F42B3">
            <w:pPr>
              <w:adjustRightInd w:val="0"/>
              <w:snapToGrid w:val="0"/>
              <w:spacing w:line="360" w:lineRule="auto"/>
              <w:rPr>
                <w:rFonts w:ascii="宋体" w:hAnsi="宋体" w:cs="宋体"/>
                <w:szCs w:val="21"/>
              </w:rPr>
            </w:pPr>
            <w:r>
              <w:rPr>
                <w:rFonts w:hint="eastAsia" w:ascii="宋体" w:hAnsi="宋体" w:cs="宋体"/>
                <w:szCs w:val="21"/>
              </w:rPr>
              <w:t>2.通过合同关键信息无法判断是否得分的，也可以提供能证明得分的其它证明资料，如项目报告或合同甲方出具的证明文件；</w:t>
            </w:r>
          </w:p>
          <w:p w14:paraId="42373853">
            <w:pPr>
              <w:adjustRightInd w:val="0"/>
              <w:snapToGrid w:val="0"/>
              <w:spacing w:line="360" w:lineRule="auto"/>
              <w:rPr>
                <w:rFonts w:ascii="宋体" w:hAnsi="宋体" w:cs="宋体"/>
                <w:szCs w:val="21"/>
              </w:rPr>
            </w:pPr>
            <w:r>
              <w:rPr>
                <w:rFonts w:hint="eastAsia" w:ascii="宋体" w:hAnsi="宋体" w:cs="宋体"/>
                <w:szCs w:val="21"/>
              </w:rPr>
              <w:t>3.</w:t>
            </w:r>
            <w:r>
              <w:rPr>
                <w:rFonts w:hint="eastAsia" w:ascii="宋体" w:hAnsi="宋体" w:cs="宋体"/>
                <w:kern w:val="0"/>
                <w:szCs w:val="21"/>
              </w:rPr>
              <w:t>以上</w:t>
            </w:r>
            <w:r>
              <w:rPr>
                <w:rFonts w:hint="eastAsia" w:ascii="宋体" w:hAnsi="宋体" w:cs="宋体"/>
                <w:szCs w:val="21"/>
              </w:rPr>
              <w:t>证明文件</w:t>
            </w:r>
            <w:r>
              <w:rPr>
                <w:rFonts w:hint="eastAsia" w:ascii="宋体" w:hAnsi="宋体" w:cs="宋体"/>
                <w:kern w:val="0"/>
                <w:szCs w:val="21"/>
              </w:rPr>
              <w:t>均提供复印件或扫描件加盖投标供应商公章，原件备查。</w:t>
            </w:r>
            <w:r>
              <w:rPr>
                <w:rFonts w:hint="eastAsia" w:ascii="宋体" w:hAnsi="宋体" w:cs="宋体"/>
                <w:szCs w:val="21"/>
              </w:rPr>
              <w:t>未按要求提供有效证明材料或提供不清晰导致评委无法识别的不计得分。</w:t>
            </w:r>
          </w:p>
        </w:tc>
      </w:tr>
      <w:tr w14:paraId="08E1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8" w:type="pct"/>
            <w:vMerge w:val="continue"/>
            <w:tcBorders>
              <w:left w:val="double" w:color="auto" w:sz="4" w:space="0"/>
            </w:tcBorders>
            <w:vAlign w:val="center"/>
          </w:tcPr>
          <w:p w14:paraId="6A1F77AB">
            <w:pPr>
              <w:adjustRightInd w:val="0"/>
              <w:spacing w:line="360" w:lineRule="auto"/>
              <w:jc w:val="center"/>
              <w:rPr>
                <w:rFonts w:ascii="宋体" w:hAnsi="宋体" w:cs="宋体"/>
                <w:b/>
                <w:bCs/>
                <w:snapToGrid w:val="0"/>
                <w:kern w:val="0"/>
                <w:szCs w:val="21"/>
              </w:rPr>
            </w:pPr>
          </w:p>
        </w:tc>
        <w:tc>
          <w:tcPr>
            <w:tcW w:w="621" w:type="pct"/>
            <w:vAlign w:val="center"/>
          </w:tcPr>
          <w:p w14:paraId="014A3B32">
            <w:pPr>
              <w:widowControl/>
              <w:spacing w:line="360" w:lineRule="auto"/>
              <w:jc w:val="center"/>
              <w:rPr>
                <w:rFonts w:ascii="宋体" w:hAnsi="宋体" w:cs="宋体"/>
                <w:szCs w:val="21"/>
              </w:rPr>
            </w:pPr>
            <w:r>
              <w:rPr>
                <w:rFonts w:hint="eastAsia" w:ascii="宋体" w:hAnsi="宋体" w:cs="宋体"/>
                <w:kern w:val="0"/>
                <w:szCs w:val="21"/>
              </w:rPr>
              <w:t>诚信情况</w:t>
            </w:r>
          </w:p>
        </w:tc>
        <w:tc>
          <w:tcPr>
            <w:tcW w:w="367" w:type="pct"/>
            <w:tcBorders>
              <w:right w:val="single" w:color="auto" w:sz="4" w:space="0"/>
            </w:tcBorders>
            <w:vAlign w:val="center"/>
          </w:tcPr>
          <w:p w14:paraId="7EE36E0F">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3482" w:type="pct"/>
            <w:tcBorders>
              <w:left w:val="single" w:color="auto" w:sz="4" w:space="0"/>
              <w:right w:val="double" w:color="auto" w:sz="4" w:space="0"/>
            </w:tcBorders>
            <w:vAlign w:val="center"/>
          </w:tcPr>
          <w:p w14:paraId="44741827">
            <w:pPr>
              <w:tabs>
                <w:tab w:val="left" w:pos="175"/>
              </w:tabs>
              <w:spacing w:line="360" w:lineRule="auto"/>
              <w:ind w:left="33"/>
              <w:jc w:val="left"/>
              <w:rPr>
                <w:rFonts w:ascii="宋体" w:hAnsi="宋体" w:cs="宋体"/>
                <w:szCs w:val="21"/>
              </w:rPr>
            </w:pPr>
            <w:r>
              <w:rPr>
                <w:rFonts w:hint="eastAsia" w:ascii="宋体" w:hAnsi="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3F391952">
            <w:pPr>
              <w:tabs>
                <w:tab w:val="left" w:pos="175"/>
              </w:tabs>
              <w:spacing w:line="360" w:lineRule="auto"/>
              <w:ind w:left="33"/>
              <w:jc w:val="left"/>
              <w:rPr>
                <w:rFonts w:ascii="宋体" w:hAnsi="宋体" w:cs="宋体"/>
                <w:szCs w:val="21"/>
              </w:rPr>
            </w:pPr>
            <w:r>
              <w:rPr>
                <w:rFonts w:hint="eastAsia" w:ascii="宋体" w:hAnsi="宋体" w:cs="宋体"/>
                <w:szCs w:val="21"/>
              </w:rPr>
              <w:t>（采购代理机构通过“信用中国”、“中国政府采购网”、“深圳市政府采购监管网”以及市、区财政部门认定的其他渠道查询供应商信用信息，投标供应商无需提供证明材料。）</w:t>
            </w:r>
          </w:p>
        </w:tc>
      </w:tr>
      <w:tr w14:paraId="15AA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tcBorders>
              <w:left w:val="double" w:color="auto" w:sz="4" w:space="0"/>
              <w:bottom w:val="double" w:color="auto" w:sz="4" w:space="0"/>
            </w:tcBorders>
            <w:vAlign w:val="center"/>
          </w:tcPr>
          <w:p w14:paraId="3D31AA2C">
            <w:pPr>
              <w:spacing w:line="360" w:lineRule="auto"/>
              <w:jc w:val="center"/>
              <w:rPr>
                <w:rFonts w:ascii="宋体" w:hAnsi="宋体" w:cs="宋体"/>
                <w:b/>
                <w:snapToGrid w:val="0"/>
                <w:kern w:val="0"/>
                <w:szCs w:val="21"/>
              </w:rPr>
            </w:pPr>
            <w:r>
              <w:rPr>
                <w:rFonts w:hint="eastAsia" w:ascii="宋体" w:hAnsi="宋体" w:cs="宋体"/>
                <w:b/>
                <w:snapToGrid w:val="0"/>
                <w:kern w:val="0"/>
                <w:szCs w:val="21"/>
              </w:rPr>
              <w:t>总得分（N）</w:t>
            </w:r>
          </w:p>
          <w:p w14:paraId="79947A2F">
            <w:pPr>
              <w:adjustRightInd w:val="0"/>
              <w:snapToGrid w:val="0"/>
              <w:spacing w:line="360" w:lineRule="auto"/>
              <w:jc w:val="center"/>
              <w:rPr>
                <w:rFonts w:ascii="宋体" w:hAnsi="宋体" w:cs="宋体"/>
                <w:b/>
                <w:snapToGrid w:val="0"/>
                <w:kern w:val="0"/>
                <w:szCs w:val="21"/>
              </w:rPr>
            </w:pPr>
            <w:r>
              <w:rPr>
                <w:rFonts w:hint="eastAsia" w:ascii="宋体" w:hAnsi="宋体" w:cs="宋体"/>
                <w:b/>
                <w:snapToGrid w:val="0"/>
                <w:kern w:val="0"/>
                <w:szCs w:val="21"/>
              </w:rPr>
              <w:t>（总分100分）</w:t>
            </w:r>
          </w:p>
        </w:tc>
        <w:tc>
          <w:tcPr>
            <w:tcW w:w="621" w:type="pct"/>
            <w:tcBorders>
              <w:bottom w:val="double" w:color="auto" w:sz="4" w:space="0"/>
            </w:tcBorders>
            <w:vAlign w:val="center"/>
          </w:tcPr>
          <w:p w14:paraId="23EBAF47">
            <w:pPr>
              <w:adjustRightInd w:val="0"/>
              <w:snapToGrid w:val="0"/>
              <w:spacing w:line="360" w:lineRule="auto"/>
              <w:jc w:val="center"/>
              <w:rPr>
                <w:rFonts w:ascii="宋体" w:hAnsi="宋体" w:cs="宋体"/>
                <w:b/>
                <w:snapToGrid w:val="0"/>
                <w:kern w:val="0"/>
                <w:szCs w:val="21"/>
              </w:rPr>
            </w:pPr>
          </w:p>
        </w:tc>
        <w:tc>
          <w:tcPr>
            <w:tcW w:w="367" w:type="pct"/>
            <w:tcBorders>
              <w:bottom w:val="double" w:color="auto" w:sz="4" w:space="0"/>
            </w:tcBorders>
            <w:vAlign w:val="center"/>
          </w:tcPr>
          <w:p w14:paraId="27E2C5B0">
            <w:pPr>
              <w:adjustRightInd w:val="0"/>
              <w:snapToGrid w:val="0"/>
              <w:spacing w:line="360" w:lineRule="auto"/>
              <w:jc w:val="center"/>
              <w:rPr>
                <w:rFonts w:ascii="宋体" w:hAnsi="宋体" w:cs="宋体"/>
                <w:snapToGrid w:val="0"/>
                <w:kern w:val="0"/>
                <w:szCs w:val="21"/>
              </w:rPr>
            </w:pPr>
            <w:r>
              <w:rPr>
                <w:rFonts w:hint="eastAsia" w:ascii="宋体" w:hAnsi="宋体" w:cs="宋体"/>
                <w:snapToGrid w:val="0"/>
                <w:kern w:val="0"/>
                <w:szCs w:val="21"/>
              </w:rPr>
              <w:t>100</w:t>
            </w:r>
          </w:p>
        </w:tc>
        <w:tc>
          <w:tcPr>
            <w:tcW w:w="3482" w:type="pct"/>
            <w:tcBorders>
              <w:bottom w:val="double" w:color="auto" w:sz="4" w:space="0"/>
              <w:right w:val="double" w:color="auto" w:sz="4" w:space="0"/>
            </w:tcBorders>
            <w:vAlign w:val="center"/>
          </w:tcPr>
          <w:p w14:paraId="518513D9">
            <w:pPr>
              <w:spacing w:line="360" w:lineRule="auto"/>
              <w:jc w:val="center"/>
              <w:rPr>
                <w:rFonts w:ascii="宋体" w:hAnsi="宋体" w:cs="宋体"/>
                <w:snapToGrid w:val="0"/>
                <w:kern w:val="0"/>
                <w:szCs w:val="21"/>
              </w:rPr>
            </w:pPr>
            <w:r>
              <w:rPr>
                <w:rFonts w:hint="eastAsia" w:ascii="宋体" w:hAnsi="宋体" w:cs="宋体"/>
                <w:snapToGrid w:val="0"/>
                <w:kern w:val="0"/>
                <w:szCs w:val="21"/>
              </w:rPr>
              <w:t>N=J+G+S</w:t>
            </w:r>
          </w:p>
        </w:tc>
      </w:tr>
    </w:tbl>
    <w:p w14:paraId="3AFE3996">
      <w:pPr>
        <w:widowControl/>
        <w:jc w:val="left"/>
        <w:rPr>
          <w:rFonts w:cs="仿宋" w:asciiTheme="minorEastAsia" w:hAnsiTheme="minorEastAsia" w:eastAsiaTheme="minorEastAsia"/>
          <w:b/>
          <w:color w:val="FF0000"/>
          <w:sz w:val="28"/>
          <w:szCs w:val="28"/>
        </w:rPr>
      </w:pPr>
      <w:r>
        <w:rPr>
          <w:rFonts w:hint="eastAsia" w:cs="仿宋" w:asciiTheme="minorEastAsia" w:hAnsiTheme="minorEastAsia" w:eastAsiaTheme="minorEastAsia"/>
          <w:b/>
          <w:color w:val="FF0000"/>
          <w:sz w:val="28"/>
          <w:szCs w:val="28"/>
        </w:rPr>
        <w:t>注：</w:t>
      </w:r>
    </w:p>
    <w:p w14:paraId="35AEF132">
      <w:pPr>
        <w:widowControl/>
        <w:spacing w:line="360" w:lineRule="auto"/>
        <w:jc w:val="center"/>
        <w:rPr>
          <w:rFonts w:cs="仿宋" w:asciiTheme="minorEastAsia" w:hAnsiTheme="minorEastAsia" w:eastAsiaTheme="minorEastAsia"/>
          <w:b/>
          <w:sz w:val="28"/>
        </w:rPr>
      </w:pPr>
      <w:r>
        <w:rPr>
          <w:rFonts w:hint="eastAsia" w:cs="仿宋" w:asciiTheme="minorEastAsia" w:hAnsiTheme="minorEastAsia" w:eastAsiaTheme="minorEastAsia"/>
          <w:b/>
          <w:sz w:val="28"/>
        </w:rPr>
        <w:t>政府采购优惠政策</w:t>
      </w:r>
    </w:p>
    <w:p w14:paraId="2999C2B6">
      <w:pPr>
        <w:spacing w:after="60" w:line="360" w:lineRule="auto"/>
        <w:ind w:firstLine="426" w:firstLineChars="202"/>
        <w:rPr>
          <w:rFonts w:ascii="宋体" w:hAnsi="宋体"/>
          <w:b/>
          <w:snapToGrid w:val="0"/>
          <w:szCs w:val="21"/>
          <w:highlight w:val="yellow"/>
        </w:rPr>
      </w:pPr>
    </w:p>
    <w:p w14:paraId="26E7361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，投标供应商应根据《工业和信息化部、国家统计局、国家发展和改革委员会、财政部关于印发中小企业划型标准规定的通知》(工信部联企业〔2011〕300号)规定的中小企业划型标准填写《中小企业声明函》。</w:t>
      </w:r>
    </w:p>
    <w:p w14:paraId="1CC923AC">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（二）价格评审优惠</w:t>
      </w:r>
    </w:p>
    <w:p w14:paraId="58AD8BD4">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hAnsi="宋体"/>
          <w:szCs w:val="24"/>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12C28C00">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szCs w:val="24"/>
        </w:rPr>
        <w:t>未</w:t>
      </w:r>
      <w:r>
        <w:rPr>
          <w:rFonts w:hint="eastAsia" w:hAnsi="宋体"/>
          <w:szCs w:val="24"/>
        </w:rPr>
        <w:t>预留份额专门面向中小企业采购的采购项目或采购包</w:t>
      </w:r>
      <w:r>
        <w:rPr>
          <w:rFonts w:hint="eastAsia" w:asciiTheme="minorEastAsia" w:hAnsiTheme="minorEastAsia" w:eastAsiaTheme="minorEastAsia"/>
          <w:szCs w:val="21"/>
        </w:rPr>
        <w:t>：</w:t>
      </w:r>
    </w:p>
    <w:p w14:paraId="20DFB377">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供应商，</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w:t>
      </w:r>
    </w:p>
    <w:p w14:paraId="02D248B0">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r>
        <w:rPr>
          <w:rFonts w:hint="eastAsia" w:asciiTheme="minorEastAsia" w:hAnsiTheme="minorEastAsia" w:eastAsiaTheme="minorEastAsia"/>
        </w:rPr>
        <w:t>。如联合体各方均为小型、微型企业，联合体视同为小型、微型企业，享受</w:t>
      </w:r>
      <w:r>
        <w:rPr>
          <w:rFonts w:hint="eastAsia" w:asciiTheme="minorEastAsia" w:hAnsiTheme="minorEastAsia" w:eastAsiaTheme="minorEastAsia"/>
          <w:b/>
        </w:rPr>
        <w:t>第（1）项</w:t>
      </w:r>
      <w:r>
        <w:rPr>
          <w:rFonts w:hint="eastAsia" w:asciiTheme="minorEastAsia" w:hAnsiTheme="minorEastAsia" w:eastAsiaTheme="minorEastAsia"/>
        </w:rPr>
        <w:t>的评审优惠。</w:t>
      </w:r>
    </w:p>
    <w:p w14:paraId="0AEAC2A6">
      <w:pPr>
        <w:spacing w:after="60" w:line="360" w:lineRule="auto"/>
        <w:ind w:firstLine="424" w:firstLineChars="202"/>
        <w:rPr>
          <w:rFonts w:ascii="宋体" w:hAnsi="宋体"/>
        </w:rPr>
      </w:pPr>
      <w:r>
        <w:rPr>
          <w:rFonts w:hint="eastAsia" w:ascii="宋体" w:hAnsi="宋体"/>
        </w:rPr>
        <w:t>（3）分包意向协议约定，小型、微型企业的协议合同金额占到合同总金额30%以上的，可给予投标供应商</w:t>
      </w:r>
      <w:r>
        <w:rPr>
          <w:rFonts w:hint="eastAsia" w:ascii="宋体" w:hAnsi="宋体"/>
          <w:b/>
          <w:u w:val="single"/>
        </w:rPr>
        <w:t xml:space="preserve">  </w:t>
      </w:r>
      <w:r>
        <w:rPr>
          <w:rFonts w:hint="eastAsia" w:asciiTheme="minorEastAsia" w:hAnsiTheme="minorEastAsia" w:eastAsiaTheme="minorEastAsia"/>
          <w:b/>
          <w:u w:val="single"/>
        </w:rPr>
        <w:t xml:space="preserve">/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p>
    <w:p w14:paraId="22BB499B">
      <w:pPr>
        <w:spacing w:after="60" w:line="360" w:lineRule="auto"/>
        <w:ind w:firstLine="424" w:firstLineChars="202"/>
        <w:rPr>
          <w:rFonts w:ascii="宋体" w:hAnsi="宋体"/>
        </w:rPr>
      </w:pPr>
      <w:r>
        <w:rPr>
          <w:rFonts w:hint="eastAsia" w:ascii="宋体" w:hAnsi="宋体"/>
        </w:rPr>
        <w:t>（4）</w:t>
      </w:r>
      <w:r>
        <w:rPr>
          <w:rFonts w:hint="eastAsia" w:asciiTheme="minorEastAsia" w:hAnsiTheme="minorEastAsia" w:eastAsiaTheme="minorEastAsia"/>
        </w:rPr>
        <w:t>如供应商为</w:t>
      </w:r>
      <w:r>
        <w:rPr>
          <w:rFonts w:hint="eastAsia" w:hAnsi="宋体"/>
        </w:rPr>
        <w:t>监狱企业</w:t>
      </w:r>
      <w:r>
        <w:rPr>
          <w:rFonts w:hint="eastAsia" w:hAnsi="宋体"/>
          <w:szCs w:val="21"/>
        </w:rPr>
        <w:t>或残疾人福利性单位，</w:t>
      </w:r>
      <w:r>
        <w:rPr>
          <w:rFonts w:hint="eastAsia" w:hAnsi="宋体"/>
        </w:rPr>
        <w:t>视同</w:t>
      </w:r>
      <w:r>
        <w:rPr>
          <w:rFonts w:hint="eastAsia" w:asciiTheme="minorEastAsia" w:hAnsiTheme="minorEastAsia" w:eastAsiaTheme="minorEastAsia"/>
        </w:rPr>
        <w:t>小型、微型企业，</w:t>
      </w:r>
      <w:r>
        <w:rPr>
          <w:rFonts w:hint="eastAsia" w:hAnsi="宋体"/>
        </w:rPr>
        <w:t>享受以上预留份额、评审中价格扣除等政府采购促进中小企业发展的政府采购政策；</w:t>
      </w:r>
      <w:r>
        <w:rPr>
          <w:rFonts w:hint="eastAsia" w:asciiTheme="minorEastAsia" w:hAnsiTheme="minorEastAsia" w:eastAsiaTheme="minorEastAsia"/>
        </w:rPr>
        <w:t>对于同时属于小型、微型企业、监狱企业或残疾人福利性单位的供应商，不重复享受政策。</w:t>
      </w:r>
    </w:p>
    <w:p w14:paraId="7E6975A1">
      <w:pPr>
        <w:spacing w:after="60" w:line="360" w:lineRule="auto"/>
        <w:ind w:firstLine="424" w:firstLineChars="202"/>
        <w:rPr>
          <w:rFonts w:ascii="宋体" w:hAnsi="宋体"/>
        </w:rPr>
      </w:pPr>
      <w:r>
        <w:rPr>
          <w:rFonts w:hint="eastAsia" w:ascii="宋体" w:hAnsi="宋体"/>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74BD143A">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（三）绿色采购</w:t>
      </w:r>
    </w:p>
    <w:p w14:paraId="60C78ABB">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4"/>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szCs w:val="24"/>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szCs w:val="24"/>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34BE341E">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7EA19873">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ascii="Times New Roman" w:hAnsi="Times New Roman"/>
          <w:b/>
          <w:szCs w:val="24"/>
        </w:rPr>
        <w:t>其他说明</w:t>
      </w:r>
    </w:p>
    <w:p w14:paraId="5301021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4"/>
        </w:rPr>
        <w:t>为缓解中小企业融资难题，深圳市推出政府采购订单融资改革举措。订单融资具体流程及试点金融机构订单融资服务承诺可参阅深圳市政府采购监管网（zfcg.sz.gov.cn）政府采购订单融资栏目。</w:t>
      </w:r>
    </w:p>
    <w:p w14:paraId="7D788ABF">
      <w:pPr>
        <w:rPr>
          <w:rFonts w:cs="仿宋" w:asciiTheme="minorEastAsia" w:hAnsiTheme="minorEastAsia" w:eastAsiaTheme="minorEastAsia"/>
        </w:rPr>
      </w:pPr>
      <w:r>
        <w:rPr>
          <w:rFonts w:cs="仿宋" w:asciiTheme="minorEastAsia" w:hAnsiTheme="minorEastAsia" w:eastAsiaTheme="minorEastAsia"/>
        </w:rPr>
        <w:br w:type="page"/>
      </w:r>
    </w:p>
    <w:p w14:paraId="724FA2A2">
      <w:pPr>
        <w:rPr>
          <w:rFonts w:cs="仿宋" w:asciiTheme="minorEastAsia" w:hAnsiTheme="minorEastAsia" w:eastAsiaTheme="minorEastAsia"/>
        </w:rPr>
      </w:pPr>
    </w:p>
    <w:p w14:paraId="6B58DCA9">
      <w:pPr>
        <w:rPr>
          <w:rFonts w:cs="仿宋" w:asciiTheme="minorEastAsia" w:hAnsiTheme="minorEastAsia" w:eastAsiaTheme="minorEastAsia"/>
        </w:rPr>
      </w:pPr>
    </w:p>
    <w:p w14:paraId="34111988">
      <w:pPr>
        <w:rPr>
          <w:rFonts w:cs="仿宋" w:asciiTheme="minorEastAsia" w:hAnsiTheme="minorEastAsia" w:eastAsiaTheme="minorEastAsia"/>
        </w:rPr>
      </w:pPr>
    </w:p>
    <w:p w14:paraId="5CB087DE">
      <w:pPr>
        <w:rPr>
          <w:rFonts w:cs="仿宋" w:asciiTheme="minorEastAsia" w:hAnsiTheme="minorEastAsia" w:eastAsiaTheme="minorEastAsia"/>
        </w:rPr>
      </w:pPr>
    </w:p>
    <w:p w14:paraId="1D741325">
      <w:pPr>
        <w:rPr>
          <w:rFonts w:cs="仿宋" w:asciiTheme="minorEastAsia" w:hAnsiTheme="minorEastAsia" w:eastAsiaTheme="minorEastAsia"/>
        </w:rPr>
      </w:pPr>
    </w:p>
    <w:p w14:paraId="1B9FE580">
      <w:pPr>
        <w:pStyle w:val="19"/>
        <w:ind w:firstLine="210"/>
      </w:pPr>
    </w:p>
    <w:p w14:paraId="0A63E589">
      <w:pPr>
        <w:pStyle w:val="19"/>
        <w:ind w:firstLine="210"/>
      </w:pPr>
    </w:p>
    <w:p w14:paraId="266477B9">
      <w:pPr>
        <w:pStyle w:val="19"/>
        <w:ind w:firstLine="210"/>
      </w:pPr>
    </w:p>
    <w:p w14:paraId="7CA9EEFD">
      <w:pPr>
        <w:pStyle w:val="19"/>
        <w:ind w:firstLine="210"/>
      </w:pPr>
    </w:p>
    <w:p w14:paraId="312E1700">
      <w:pPr>
        <w:pStyle w:val="19"/>
        <w:ind w:firstLine="210"/>
      </w:pPr>
    </w:p>
    <w:p w14:paraId="103A9F60">
      <w:pPr>
        <w:pStyle w:val="19"/>
        <w:ind w:firstLine="210"/>
      </w:pPr>
    </w:p>
    <w:p w14:paraId="4E88FAC9">
      <w:pPr>
        <w:pStyle w:val="19"/>
        <w:ind w:firstLine="210"/>
      </w:pPr>
    </w:p>
    <w:p w14:paraId="29D8E035">
      <w:pPr>
        <w:pStyle w:val="19"/>
        <w:ind w:firstLine="210"/>
      </w:pPr>
    </w:p>
    <w:p w14:paraId="499997B2">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第二部分</w:t>
      </w:r>
    </w:p>
    <w:p w14:paraId="0BCD9B88">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采购项目需求</w:t>
      </w:r>
    </w:p>
    <w:p w14:paraId="691341F9">
      <w:pPr>
        <w:widowControl/>
        <w:jc w:val="left"/>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br w:type="page"/>
      </w:r>
    </w:p>
    <w:p w14:paraId="35F09FF0">
      <w:pPr>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征集项目需求</w:t>
      </w:r>
    </w:p>
    <w:p w14:paraId="6A0E9CE6">
      <w:pPr>
        <w:widowControl/>
        <w:jc w:val="left"/>
        <w:rPr>
          <w:rFonts w:ascii="仿宋_GB2312" w:eastAsia="仿宋_GB2312"/>
          <w:b/>
          <w:sz w:val="24"/>
          <w:highlight w:val="yellow"/>
        </w:rPr>
      </w:pPr>
    </w:p>
    <w:p w14:paraId="75848F14">
      <w:pPr>
        <w:widowControl/>
        <w:spacing w:line="360" w:lineRule="auto"/>
        <w:jc w:val="left"/>
        <w:rPr>
          <w:rFonts w:ascii="仿宋_GB2312" w:eastAsia="仿宋_GB2312"/>
          <w:b/>
          <w:sz w:val="24"/>
        </w:rPr>
      </w:pPr>
      <w:r>
        <w:rPr>
          <w:rFonts w:hint="eastAsia" w:ascii="仿宋_GB2312" w:eastAsia="仿宋_GB2312"/>
          <w:b/>
          <w:sz w:val="24"/>
          <w:highlight w:val="yellow"/>
        </w:rPr>
        <w:t>注：需求中加注★的条款为不可负偏离条款，任一项未响应或不满足要求的，将导致投标无效。</w:t>
      </w:r>
    </w:p>
    <w:p w14:paraId="5D31A19D">
      <w:pPr>
        <w:pStyle w:val="20"/>
        <w:spacing w:line="360" w:lineRule="auto"/>
      </w:pPr>
    </w:p>
    <w:p w14:paraId="469DEBCC">
      <w:pPr>
        <w:widowControl/>
        <w:spacing w:line="360" w:lineRule="auto"/>
        <w:jc w:val="left"/>
        <w:rPr>
          <w:rFonts w:ascii="宋体" w:hAnsi="宋体" w:cs="宋体"/>
        </w:rPr>
      </w:pPr>
      <w:r>
        <w:rPr>
          <w:rFonts w:hint="eastAsia" w:ascii="宋体" w:hAnsi="宋体" w:cs="宋体"/>
          <w:b/>
          <w:bCs/>
          <w:sz w:val="28"/>
          <w:szCs w:val="21"/>
        </w:rPr>
        <w:t>一、项目预算</w:t>
      </w:r>
    </w:p>
    <w:tbl>
      <w:tblPr>
        <w:tblStyle w:val="21"/>
        <w:tblW w:w="499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3495"/>
        <w:gridCol w:w="1200"/>
        <w:gridCol w:w="1890"/>
        <w:gridCol w:w="964"/>
      </w:tblGrid>
      <w:tr w14:paraId="1AB5AE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68" w:type="pct"/>
            <w:shd w:val="clear" w:color="auto" w:fill="C6D9F1"/>
            <w:vAlign w:val="center"/>
          </w:tcPr>
          <w:p w14:paraId="2EFC3F09">
            <w:pPr>
              <w:spacing w:line="360" w:lineRule="auto"/>
              <w:jc w:val="center"/>
              <w:rPr>
                <w:rFonts w:ascii="宋体" w:hAnsi="宋体" w:cs="宋体"/>
                <w:b/>
              </w:rPr>
            </w:pPr>
            <w:r>
              <w:rPr>
                <w:rFonts w:hint="eastAsia" w:ascii="宋体" w:hAnsi="宋体" w:cs="宋体"/>
                <w:b/>
              </w:rPr>
              <w:t>序号</w:t>
            </w:r>
          </w:p>
        </w:tc>
        <w:tc>
          <w:tcPr>
            <w:tcW w:w="2051" w:type="pct"/>
            <w:shd w:val="clear" w:color="auto" w:fill="C6D9F1"/>
            <w:vAlign w:val="center"/>
          </w:tcPr>
          <w:p w14:paraId="7557205E">
            <w:pPr>
              <w:spacing w:line="360" w:lineRule="auto"/>
              <w:jc w:val="center"/>
              <w:rPr>
                <w:rFonts w:ascii="宋体" w:hAnsi="宋体" w:cs="宋体"/>
                <w:b/>
              </w:rPr>
            </w:pPr>
            <w:r>
              <w:rPr>
                <w:rFonts w:hint="eastAsia" w:ascii="宋体" w:hAnsi="宋体" w:cs="宋体"/>
                <w:b/>
              </w:rPr>
              <w:t>标的名称</w:t>
            </w:r>
          </w:p>
        </w:tc>
        <w:tc>
          <w:tcPr>
            <w:tcW w:w="704" w:type="pct"/>
            <w:shd w:val="clear" w:color="auto" w:fill="C6D9F1"/>
            <w:vAlign w:val="center"/>
          </w:tcPr>
          <w:p w14:paraId="55ECC953">
            <w:pPr>
              <w:spacing w:line="360" w:lineRule="auto"/>
              <w:jc w:val="center"/>
              <w:rPr>
                <w:rFonts w:ascii="宋体" w:hAnsi="宋体" w:cs="宋体"/>
                <w:b/>
              </w:rPr>
            </w:pPr>
            <w:r>
              <w:rPr>
                <w:rFonts w:hint="eastAsia" w:ascii="宋体" w:hAnsi="宋体" w:cs="宋体"/>
                <w:b/>
              </w:rPr>
              <w:t>数量</w:t>
            </w:r>
          </w:p>
        </w:tc>
        <w:tc>
          <w:tcPr>
            <w:tcW w:w="1109" w:type="pct"/>
            <w:shd w:val="clear" w:color="auto" w:fill="C6D9F1"/>
            <w:vAlign w:val="center"/>
          </w:tcPr>
          <w:p w14:paraId="2554C985">
            <w:pPr>
              <w:spacing w:line="360" w:lineRule="auto"/>
              <w:jc w:val="center"/>
              <w:rPr>
                <w:rFonts w:ascii="宋体" w:hAnsi="宋体" w:cs="宋体"/>
                <w:b/>
              </w:rPr>
            </w:pPr>
            <w:r>
              <w:rPr>
                <w:rFonts w:hint="eastAsia" w:ascii="宋体" w:hAnsi="宋体" w:cs="宋体"/>
                <w:b/>
              </w:rPr>
              <w:t>采购预算金额</w:t>
            </w:r>
          </w:p>
        </w:tc>
        <w:tc>
          <w:tcPr>
            <w:tcW w:w="566" w:type="pct"/>
            <w:shd w:val="clear" w:color="auto" w:fill="C6D9F1"/>
            <w:vAlign w:val="center"/>
          </w:tcPr>
          <w:p w14:paraId="57261A26">
            <w:pPr>
              <w:spacing w:line="360" w:lineRule="auto"/>
              <w:jc w:val="center"/>
              <w:rPr>
                <w:rFonts w:ascii="宋体" w:hAnsi="宋体" w:cs="宋体"/>
                <w:b/>
              </w:rPr>
            </w:pPr>
            <w:r>
              <w:rPr>
                <w:rFonts w:hint="eastAsia" w:ascii="宋体" w:hAnsi="宋体" w:cs="宋体"/>
                <w:b/>
              </w:rPr>
              <w:t>备注</w:t>
            </w:r>
          </w:p>
        </w:tc>
      </w:tr>
      <w:tr w14:paraId="65A67C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8" w:type="pct"/>
            <w:vAlign w:val="center"/>
          </w:tcPr>
          <w:p w14:paraId="4DC8D68D">
            <w:pPr>
              <w:spacing w:line="360" w:lineRule="auto"/>
              <w:jc w:val="center"/>
              <w:rPr>
                <w:rFonts w:ascii="宋体" w:hAnsi="宋体" w:cs="宋体"/>
                <w:szCs w:val="21"/>
              </w:rPr>
            </w:pPr>
            <w:r>
              <w:rPr>
                <w:rFonts w:hint="eastAsia" w:ascii="宋体" w:hAnsi="宋体" w:cs="宋体"/>
                <w:szCs w:val="21"/>
              </w:rPr>
              <w:t>1</w:t>
            </w:r>
          </w:p>
        </w:tc>
        <w:tc>
          <w:tcPr>
            <w:tcW w:w="2051" w:type="pct"/>
            <w:vAlign w:val="center"/>
          </w:tcPr>
          <w:p w14:paraId="74C17109">
            <w:pPr>
              <w:spacing w:line="360" w:lineRule="auto"/>
              <w:jc w:val="center"/>
              <w:rPr>
                <w:rFonts w:ascii="宋体" w:hAnsi="宋体" w:cs="宋体"/>
                <w:szCs w:val="21"/>
              </w:rPr>
            </w:pPr>
            <w:r>
              <w:rPr>
                <w:rFonts w:hint="eastAsia" w:ascii="宋体" w:hAnsi="宋体" w:cs="宋体"/>
              </w:rPr>
              <w:t>警训支队布草洗涤服务采购项目</w:t>
            </w:r>
          </w:p>
        </w:tc>
        <w:tc>
          <w:tcPr>
            <w:tcW w:w="704" w:type="pct"/>
            <w:vAlign w:val="center"/>
          </w:tcPr>
          <w:p w14:paraId="71CF8D5C">
            <w:pPr>
              <w:spacing w:line="360" w:lineRule="auto"/>
              <w:jc w:val="center"/>
              <w:rPr>
                <w:rFonts w:ascii="宋体" w:hAnsi="宋体" w:cs="宋体"/>
                <w:szCs w:val="21"/>
              </w:rPr>
            </w:pPr>
            <w:r>
              <w:rPr>
                <w:rFonts w:hint="eastAsia" w:ascii="宋体" w:hAnsi="宋体" w:cs="宋体"/>
                <w:szCs w:val="21"/>
              </w:rPr>
              <w:t>1项</w:t>
            </w:r>
          </w:p>
        </w:tc>
        <w:tc>
          <w:tcPr>
            <w:tcW w:w="1109" w:type="pct"/>
            <w:vAlign w:val="center"/>
          </w:tcPr>
          <w:p w14:paraId="1BF222F8">
            <w:pPr>
              <w:spacing w:line="360" w:lineRule="auto"/>
              <w:jc w:val="center"/>
              <w:rPr>
                <w:rFonts w:ascii="宋体" w:hAnsi="宋体" w:cs="宋体"/>
                <w:szCs w:val="21"/>
              </w:rPr>
            </w:pPr>
            <w:r>
              <w:rPr>
                <w:rFonts w:hint="eastAsia" w:ascii="宋体" w:hAnsi="宋体" w:cs="宋体"/>
                <w:szCs w:val="21"/>
              </w:rPr>
              <w:t>人民币20万元</w:t>
            </w:r>
          </w:p>
        </w:tc>
        <w:tc>
          <w:tcPr>
            <w:tcW w:w="566" w:type="pct"/>
            <w:vAlign w:val="center"/>
          </w:tcPr>
          <w:p w14:paraId="7CDDCF14">
            <w:pPr>
              <w:spacing w:line="360" w:lineRule="auto"/>
              <w:jc w:val="center"/>
              <w:rPr>
                <w:rFonts w:ascii="宋体" w:hAnsi="宋体" w:cs="宋体"/>
                <w:szCs w:val="21"/>
              </w:rPr>
            </w:pPr>
            <w:r>
              <w:rPr>
                <w:rFonts w:hint="eastAsia" w:ascii="宋体" w:hAnsi="宋体" w:cs="宋体"/>
                <w:szCs w:val="21"/>
              </w:rPr>
              <w:t>无</w:t>
            </w:r>
          </w:p>
        </w:tc>
      </w:tr>
    </w:tbl>
    <w:p w14:paraId="78EEA268">
      <w:pPr>
        <w:widowControl/>
        <w:spacing w:line="360" w:lineRule="auto"/>
        <w:jc w:val="left"/>
        <w:rPr>
          <w:rFonts w:ascii="宋体" w:hAnsi="宋体" w:cs="宋体"/>
          <w:b/>
          <w:bCs/>
          <w:sz w:val="28"/>
          <w:szCs w:val="21"/>
        </w:rPr>
      </w:pPr>
    </w:p>
    <w:p w14:paraId="5BF7CE2F">
      <w:pPr>
        <w:widowControl/>
        <w:spacing w:line="360" w:lineRule="auto"/>
        <w:jc w:val="left"/>
        <w:rPr>
          <w:rFonts w:ascii="宋体" w:hAnsi="宋体" w:cs="宋体"/>
          <w:b/>
          <w:bCs/>
          <w:sz w:val="28"/>
          <w:szCs w:val="21"/>
        </w:rPr>
      </w:pPr>
      <w:r>
        <w:rPr>
          <w:rFonts w:hint="eastAsia" w:ascii="宋体" w:hAnsi="宋体" w:cs="宋体"/>
          <w:b/>
          <w:bCs/>
          <w:sz w:val="28"/>
          <w:szCs w:val="21"/>
        </w:rPr>
        <w:t>二、项目概况</w:t>
      </w:r>
    </w:p>
    <w:p w14:paraId="6971013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1.项目采购范围：学员宿舍布草洗涤、收送等。</w:t>
      </w:r>
    </w:p>
    <w:p w14:paraId="3884C4F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2.项目依据及标准：《公共场所卫生管理条例》《住宿卫生规范》国家标准等。</w:t>
      </w:r>
    </w:p>
    <w:p w14:paraId="17913C07">
      <w:pPr>
        <w:spacing w:line="360" w:lineRule="auto"/>
        <w:rPr>
          <w:rFonts w:ascii="宋体" w:hAnsi="宋体" w:cs="宋体"/>
          <w:highlight w:val="yellow"/>
        </w:rPr>
      </w:pPr>
    </w:p>
    <w:p w14:paraId="0985ED55">
      <w:pPr>
        <w:widowControl/>
        <w:spacing w:line="360" w:lineRule="auto"/>
        <w:jc w:val="left"/>
        <w:rPr>
          <w:rFonts w:ascii="宋体" w:hAnsi="宋体" w:cs="宋体"/>
          <w:b/>
          <w:bCs/>
          <w:sz w:val="28"/>
          <w:szCs w:val="21"/>
        </w:rPr>
      </w:pPr>
      <w:r>
        <w:rPr>
          <w:rFonts w:hint="eastAsia" w:ascii="宋体" w:hAnsi="宋体" w:cs="宋体"/>
          <w:b/>
          <w:bCs/>
          <w:sz w:val="28"/>
          <w:szCs w:val="21"/>
        </w:rPr>
        <w:t>三、项目服务要求</w:t>
      </w:r>
    </w:p>
    <w:p w14:paraId="1D11903B">
      <w:pPr>
        <w:spacing w:line="360" w:lineRule="auto"/>
        <w:ind w:firstLine="420" w:firstLineChars="200"/>
        <w:jc w:val="left"/>
        <w:rPr>
          <w:rFonts w:ascii="宋体" w:hAnsi="宋体" w:cs="宋体"/>
          <w:szCs w:val="21"/>
        </w:rPr>
      </w:pPr>
      <w:r>
        <w:rPr>
          <w:rFonts w:hint="eastAsia" w:ascii="宋体" w:hAnsi="宋体" w:cs="宋体"/>
          <w:szCs w:val="21"/>
        </w:rPr>
        <w:t>（一）质量要求</w:t>
      </w:r>
    </w:p>
    <w:p w14:paraId="3560C1AC">
      <w:pPr>
        <w:spacing w:line="360" w:lineRule="auto"/>
        <w:ind w:firstLine="420" w:firstLineChars="200"/>
        <w:jc w:val="left"/>
        <w:rPr>
          <w:rFonts w:ascii="宋体" w:hAnsi="宋体" w:cs="宋体"/>
          <w:szCs w:val="21"/>
        </w:rPr>
      </w:pPr>
      <w:r>
        <w:rPr>
          <w:rFonts w:hint="eastAsia" w:ascii="宋体" w:hAnsi="宋体" w:cs="宋体"/>
          <w:szCs w:val="21"/>
        </w:rPr>
        <w:t>1.中标人负责为采购人提供的服务符合该单位的质量标准，由采购单位验收评价服务质量情况。</w:t>
      </w:r>
    </w:p>
    <w:p w14:paraId="1655DB01">
      <w:pPr>
        <w:spacing w:line="360" w:lineRule="auto"/>
        <w:ind w:firstLine="420" w:firstLineChars="200"/>
        <w:jc w:val="left"/>
        <w:rPr>
          <w:rFonts w:ascii="宋体" w:hAnsi="宋体" w:cs="宋体"/>
          <w:szCs w:val="21"/>
        </w:rPr>
      </w:pPr>
      <w:r>
        <w:rPr>
          <w:rFonts w:hint="eastAsia" w:ascii="宋体" w:hAnsi="宋体" w:cs="宋体"/>
          <w:szCs w:val="21"/>
        </w:rPr>
        <w:t>2.中标人负责为采购人提供布草（床单、被套、枕套、浴巾、面巾、窗帘、台布、护垫、浴袍、棉被、枕芯等）去渍、洗涤、熨烫、消毒等服务项目，质量需达到干净、手感干爽柔软，无污渍残留；熨烫平整、挺括，外观无变色、串色、脱色；无颜色发灰现象；无残留异味，无破损；无变形缩水，无饰品或附件不齐等，服务标准符合《公共场所用品卫生标准WS205-2001》规定。</w:t>
      </w:r>
    </w:p>
    <w:p w14:paraId="062109BB">
      <w:pPr>
        <w:spacing w:line="360" w:lineRule="auto"/>
        <w:ind w:firstLine="420" w:firstLineChars="200"/>
        <w:jc w:val="left"/>
        <w:rPr>
          <w:rFonts w:ascii="宋体" w:hAnsi="宋体" w:cs="宋体"/>
          <w:szCs w:val="21"/>
        </w:rPr>
      </w:pPr>
      <w:r>
        <w:rPr>
          <w:rFonts w:hint="eastAsia" w:ascii="宋体" w:hAnsi="宋体" w:cs="宋体"/>
          <w:szCs w:val="21"/>
        </w:rPr>
        <w:t>（二）时间要求</w:t>
      </w:r>
    </w:p>
    <w:p w14:paraId="07DA63F1">
      <w:pPr>
        <w:spacing w:line="360" w:lineRule="auto"/>
        <w:ind w:firstLine="420" w:firstLineChars="200"/>
        <w:jc w:val="left"/>
        <w:rPr>
          <w:rFonts w:ascii="宋体" w:hAnsi="宋体" w:cs="宋体"/>
          <w:szCs w:val="21"/>
        </w:rPr>
      </w:pPr>
      <w:r>
        <w:rPr>
          <w:rFonts w:hint="eastAsia" w:ascii="宋体" w:hAnsi="宋体" w:cs="宋体"/>
          <w:szCs w:val="21"/>
        </w:rPr>
        <w:t>1.需保证全年365天均能收送。</w:t>
      </w:r>
    </w:p>
    <w:p w14:paraId="639FD5C2">
      <w:pPr>
        <w:spacing w:line="360" w:lineRule="auto"/>
        <w:ind w:firstLine="420" w:firstLineChars="200"/>
        <w:jc w:val="left"/>
        <w:rPr>
          <w:rFonts w:ascii="宋体" w:hAnsi="宋体" w:cs="宋体"/>
          <w:szCs w:val="21"/>
        </w:rPr>
      </w:pPr>
      <w:r>
        <w:rPr>
          <w:rFonts w:hint="eastAsia" w:ascii="宋体" w:hAnsi="宋体" w:cs="宋体"/>
          <w:szCs w:val="21"/>
        </w:rPr>
        <w:t>2.必须在约定时间把布草送到指定地点，由学员宿舍工作人员验收核对后签收。</w:t>
      </w:r>
      <w:r>
        <w:rPr>
          <w:rFonts w:hint="eastAsia"/>
          <w:lang w:val="en-US" w:eastAsia="zh-CN"/>
        </w:rPr>
        <w:t>除特殊情况外，</w:t>
      </w:r>
      <w:r>
        <w:rPr>
          <w:rFonts w:hint="eastAsia" w:ascii="宋体" w:hAnsi="宋体" w:cs="宋体"/>
          <w:szCs w:val="21"/>
        </w:rPr>
        <w:t>如超出约定时间30分钟，则将扣除当日服务费用10%作为违约处罚。如采购人对服务验收不合格导致返工的，则需扣除当日不合格产品服务费用。</w:t>
      </w:r>
    </w:p>
    <w:p w14:paraId="5E8E14FC">
      <w:pPr>
        <w:spacing w:line="360" w:lineRule="auto"/>
        <w:ind w:firstLine="420" w:firstLineChars="200"/>
        <w:jc w:val="left"/>
        <w:rPr>
          <w:rFonts w:ascii="宋体" w:hAnsi="宋体" w:cs="宋体"/>
          <w:szCs w:val="21"/>
        </w:rPr>
      </w:pPr>
      <w:r>
        <w:rPr>
          <w:rFonts w:hint="eastAsia" w:ascii="宋体" w:hAnsi="宋体" w:cs="宋体"/>
          <w:szCs w:val="21"/>
        </w:rPr>
        <w:t>3.采购单位需要临时洗涤服务的（提前3小时通知中标人），中标人必须无条件当日收取。</w:t>
      </w:r>
    </w:p>
    <w:p w14:paraId="5CA0D11F">
      <w:pPr>
        <w:spacing w:line="360" w:lineRule="auto"/>
        <w:ind w:firstLine="420" w:firstLineChars="200"/>
        <w:jc w:val="left"/>
        <w:rPr>
          <w:rFonts w:hint="eastAsia" w:ascii="宋体" w:hAnsi="宋体" w:cs="宋体"/>
          <w:szCs w:val="21"/>
          <w:lang w:val="en-US" w:eastAsia="zh-CN"/>
        </w:rPr>
      </w:pPr>
      <w:r>
        <w:rPr>
          <w:rFonts w:hint="eastAsia" w:ascii="宋体" w:hAnsi="宋体" w:cs="宋体"/>
          <w:szCs w:val="21"/>
        </w:rPr>
        <w:t>4.若有特殊情况，需提前通知采购单位。在通知采购单位后，中标人配送到达时间不得超过约定时间1小时</w:t>
      </w:r>
      <w:r>
        <w:rPr>
          <w:rFonts w:hint="eastAsia"/>
          <w:lang w:eastAsia="zh-CN"/>
        </w:rPr>
        <w:t>，</w:t>
      </w:r>
      <w:r>
        <w:rPr>
          <w:rFonts w:hint="eastAsia" w:ascii="宋体" w:hAnsi="宋体" w:eastAsia="宋体" w:cs="宋体"/>
          <w:szCs w:val="21"/>
        </w:rPr>
        <w:t>超过约定时间</w:t>
      </w:r>
      <w:r>
        <w:rPr>
          <w:rFonts w:hint="eastAsia" w:ascii="宋体" w:hAnsi="宋体" w:cs="宋体"/>
          <w:szCs w:val="21"/>
        </w:rPr>
        <w:t>1小时</w:t>
      </w:r>
      <w:r>
        <w:rPr>
          <w:rFonts w:hint="eastAsia" w:ascii="宋体" w:hAnsi="宋体" w:cs="宋体"/>
          <w:szCs w:val="21"/>
          <w:lang w:eastAsia="zh-CN"/>
        </w:rPr>
        <w:t>的，</w:t>
      </w:r>
      <w:r>
        <w:rPr>
          <w:rFonts w:hint="eastAsia" w:ascii="宋体" w:hAnsi="宋体" w:cs="宋体"/>
          <w:szCs w:val="21"/>
          <w:lang w:val="en-US" w:eastAsia="zh-CN"/>
        </w:rPr>
        <w:t>严重影响采购人正常保障工作开展，除特殊情况或采购人要求以外，扣</w:t>
      </w:r>
      <w:r>
        <w:rPr>
          <w:rFonts w:hint="eastAsia" w:ascii="宋体" w:hAnsi="宋体" w:eastAsia="宋体" w:cs="宋体"/>
          <w:szCs w:val="21"/>
        </w:rPr>
        <w:t>除当日服务费用10%</w:t>
      </w:r>
      <w:r>
        <w:rPr>
          <w:rFonts w:hint="eastAsia" w:ascii="宋体" w:hAnsi="宋体" w:eastAsia="宋体" w:cs="宋体"/>
          <w:szCs w:val="21"/>
          <w:lang w:eastAsia="zh-CN"/>
        </w:rPr>
        <w:t>，</w:t>
      </w:r>
      <w:r>
        <w:rPr>
          <w:rFonts w:hint="eastAsia" w:ascii="宋体" w:hAnsi="宋体" w:cs="宋体"/>
          <w:szCs w:val="21"/>
          <w:lang w:val="en-US" w:eastAsia="zh-CN"/>
        </w:rPr>
        <w:t>服务情况差评并记录履约评价表，差评超过3次，采购人按规定有权解除服务合同。</w:t>
      </w:r>
    </w:p>
    <w:p w14:paraId="5E3891BF">
      <w:pPr>
        <w:spacing w:line="360" w:lineRule="auto"/>
        <w:ind w:firstLine="420" w:firstLineChars="200"/>
        <w:jc w:val="left"/>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如中标人在规定时间内没有配送到，给采购单位带来一切经济后果将由中标人承担。</w:t>
      </w:r>
    </w:p>
    <w:p w14:paraId="6F064E89">
      <w:pPr>
        <w:spacing w:line="360" w:lineRule="auto"/>
        <w:ind w:firstLine="420" w:firstLineChars="200"/>
        <w:jc w:val="left"/>
        <w:rPr>
          <w:rFonts w:ascii="宋体" w:hAnsi="宋体" w:cs="宋体"/>
          <w:szCs w:val="21"/>
        </w:rPr>
      </w:pPr>
      <w:r>
        <w:rPr>
          <w:rFonts w:hint="eastAsia" w:ascii="宋体" w:hAnsi="宋体" w:cs="宋体"/>
          <w:szCs w:val="21"/>
        </w:rPr>
        <w:t>（三）收送要求</w:t>
      </w:r>
    </w:p>
    <w:p w14:paraId="7C73E700">
      <w:pPr>
        <w:spacing w:line="360" w:lineRule="auto"/>
        <w:ind w:firstLine="420" w:firstLineChars="200"/>
        <w:jc w:val="left"/>
        <w:rPr>
          <w:rFonts w:ascii="宋体" w:hAnsi="宋体" w:cs="宋体"/>
          <w:szCs w:val="21"/>
        </w:rPr>
      </w:pPr>
      <w:r>
        <w:rPr>
          <w:rFonts w:hint="eastAsia" w:ascii="宋体" w:hAnsi="宋体" w:cs="宋体"/>
          <w:szCs w:val="21"/>
        </w:rPr>
        <w:t>1.中标人免费为采购人提供布草及客衣送洗单。</w:t>
      </w:r>
    </w:p>
    <w:p w14:paraId="692F72AE">
      <w:pPr>
        <w:spacing w:line="360" w:lineRule="auto"/>
        <w:ind w:firstLine="420" w:firstLineChars="200"/>
        <w:jc w:val="left"/>
        <w:rPr>
          <w:rFonts w:ascii="宋体" w:hAnsi="宋体" w:cs="宋体"/>
          <w:szCs w:val="21"/>
        </w:rPr>
      </w:pPr>
      <w:r>
        <w:rPr>
          <w:rFonts w:hint="eastAsia" w:ascii="宋体" w:hAnsi="宋体" w:cs="宋体"/>
          <w:szCs w:val="21"/>
        </w:rPr>
        <w:t>2.采购人、中标人双方在布草交接时必须当面点数，验收布草状况。否则，发生缺件、及任何质量问题由签收方自负；双方均在每次《洗涤交接单》上签名确认，并以此作为每月月终布草洗涤数量及费用支付依据。</w:t>
      </w:r>
    </w:p>
    <w:p w14:paraId="4D03D7C1">
      <w:pPr>
        <w:spacing w:line="360" w:lineRule="auto"/>
        <w:ind w:firstLine="420" w:firstLineChars="200"/>
        <w:jc w:val="left"/>
        <w:rPr>
          <w:rFonts w:ascii="宋体" w:hAnsi="宋体" w:cs="宋体"/>
          <w:szCs w:val="21"/>
        </w:rPr>
      </w:pPr>
      <w:r>
        <w:rPr>
          <w:rFonts w:hint="eastAsia" w:ascii="宋体" w:hAnsi="宋体" w:cs="宋体"/>
          <w:szCs w:val="21"/>
        </w:rPr>
        <w:t>3.采购人可向中标人提出合理的书面洗烫和包扎要求，中标人确认后，须按采购人的要求交货，如采购人在合作过程中需更改洗烫和包扎要求时，须提前两天通知中标人。</w:t>
      </w:r>
    </w:p>
    <w:p w14:paraId="5E2E049D">
      <w:pPr>
        <w:spacing w:line="360" w:lineRule="auto"/>
        <w:ind w:firstLine="420" w:firstLineChars="200"/>
        <w:jc w:val="left"/>
        <w:rPr>
          <w:rFonts w:ascii="宋体" w:hAnsi="宋体" w:cs="宋体"/>
          <w:szCs w:val="21"/>
        </w:rPr>
      </w:pPr>
      <w:r>
        <w:rPr>
          <w:rFonts w:hint="eastAsia" w:ascii="宋体" w:hAnsi="宋体" w:cs="宋体"/>
          <w:szCs w:val="21"/>
        </w:rPr>
        <w:t>4.中标人在洗涤过程中出现丢失，或由中标人的原因引起布草的损坏，则中标人按照采购人现有同类布草最新招标价格标准赔偿给采购人。</w:t>
      </w:r>
    </w:p>
    <w:p w14:paraId="7EC1C942">
      <w:pPr>
        <w:spacing w:line="360" w:lineRule="auto"/>
        <w:ind w:firstLine="420" w:firstLineChars="200"/>
        <w:jc w:val="left"/>
        <w:rPr>
          <w:rFonts w:ascii="宋体" w:hAnsi="宋体" w:cs="宋体"/>
          <w:szCs w:val="21"/>
        </w:rPr>
      </w:pPr>
      <w:r>
        <w:rPr>
          <w:rFonts w:hint="eastAsia" w:ascii="宋体" w:hAnsi="宋体" w:cs="宋体"/>
          <w:szCs w:val="21"/>
        </w:rPr>
        <w:t>5.</w:t>
      </w:r>
      <w:r>
        <w:rPr>
          <w:rFonts w:hint="eastAsia"/>
        </w:rPr>
        <w:t>采购人</w:t>
      </w:r>
      <w:r>
        <w:rPr>
          <w:rFonts w:hint="eastAsia" w:ascii="宋体" w:hAnsi="宋体" w:cs="宋体"/>
          <w:szCs w:val="21"/>
        </w:rPr>
        <w:t>交付洗涤的布草在送洗前已经存在染色、褪色、拖地渍、鞋油渍、缩水或已损坏等情形的，布草不纳入保质范围，中标人不负任何赔偿责任。</w:t>
      </w:r>
    </w:p>
    <w:p w14:paraId="56A1E8B9">
      <w:pPr>
        <w:spacing w:line="360" w:lineRule="auto"/>
        <w:ind w:firstLine="420" w:firstLineChars="200"/>
        <w:jc w:val="left"/>
        <w:rPr>
          <w:rFonts w:ascii="宋体" w:hAnsi="宋体" w:cs="宋体"/>
          <w:szCs w:val="21"/>
        </w:rPr>
      </w:pPr>
      <w:r>
        <w:rPr>
          <w:rFonts w:hint="eastAsia" w:ascii="宋体" w:hAnsi="宋体" w:cs="宋体"/>
          <w:szCs w:val="21"/>
        </w:rPr>
        <w:t>6.每月</w:t>
      </w:r>
      <w:r>
        <w:rPr>
          <w:rFonts w:hint="eastAsia" w:ascii="宋体" w:hAnsi="宋体" w:cs="宋体"/>
          <w:szCs w:val="21"/>
          <w:lang w:val="en-US" w:eastAsia="zh-CN"/>
        </w:rPr>
        <w:t>25-26</w:t>
      </w:r>
      <w:r>
        <w:rPr>
          <w:rFonts w:hint="eastAsia" w:ascii="宋体" w:hAnsi="宋体" w:cs="宋体"/>
          <w:szCs w:val="21"/>
        </w:rPr>
        <w:t>号由</w:t>
      </w:r>
      <w:r>
        <w:rPr>
          <w:rFonts w:hint="eastAsia"/>
        </w:rPr>
        <w:t>采购人和中标人</w:t>
      </w:r>
      <w:r>
        <w:rPr>
          <w:rFonts w:hint="eastAsia" w:ascii="宋体" w:hAnsi="宋体" w:cs="宋体"/>
          <w:szCs w:val="21"/>
        </w:rPr>
        <w:t>双方洽谈当月洗涤中破损布草的情况，明确分清布草质量所用时间之造成的破损责任，赔偿责任以每天的交收登记为准。</w:t>
      </w:r>
    </w:p>
    <w:p w14:paraId="503055E3">
      <w:pPr>
        <w:spacing w:line="360" w:lineRule="auto"/>
        <w:ind w:firstLine="420" w:firstLineChars="200"/>
        <w:jc w:val="left"/>
        <w:rPr>
          <w:rFonts w:ascii="宋体" w:hAnsi="宋体" w:cs="宋体"/>
          <w:szCs w:val="21"/>
        </w:rPr>
      </w:pPr>
      <w:r>
        <w:rPr>
          <w:rFonts w:hint="eastAsia" w:ascii="宋体" w:hAnsi="宋体" w:cs="宋体"/>
          <w:szCs w:val="21"/>
        </w:rPr>
        <w:t>（四）其他内容</w:t>
      </w:r>
    </w:p>
    <w:p w14:paraId="056F4B31">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加工人员和配送人员在服务过程中如遇到人员伤亡事故由中标人负全部责任，与采购单位无关。</w:t>
      </w:r>
    </w:p>
    <w:p w14:paraId="1779D329">
      <w:pPr>
        <w:spacing w:line="360" w:lineRule="auto"/>
        <w:ind w:firstLine="420" w:firstLineChars="200"/>
        <w:jc w:val="left"/>
        <w:rPr>
          <w:rFonts w:hint="default" w:ascii="宋体" w:hAnsi="宋体" w:cs="宋体"/>
          <w:szCs w:val="21"/>
          <w:lang w:val="en-US" w:eastAsia="zh-CN"/>
        </w:rPr>
      </w:pPr>
      <w:r>
        <w:rPr>
          <w:rFonts w:hint="eastAsia" w:ascii="宋体" w:hAnsi="宋体" w:cs="宋体"/>
          <w:szCs w:val="21"/>
          <w:lang w:val="en-US" w:eastAsia="zh-CN"/>
        </w:rPr>
        <w:t>2.洗涤单品单价限价：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145"/>
        <w:gridCol w:w="2955"/>
        <w:gridCol w:w="682"/>
        <w:gridCol w:w="683"/>
        <w:gridCol w:w="1139"/>
      </w:tblGrid>
      <w:tr w14:paraId="5B73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414FDE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序号</w:t>
            </w:r>
          </w:p>
        </w:tc>
        <w:tc>
          <w:tcPr>
            <w:tcW w:w="2145" w:type="dxa"/>
            <w:vAlign w:val="center"/>
          </w:tcPr>
          <w:p w14:paraId="76F09F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洗涤单品名称</w:t>
            </w:r>
          </w:p>
        </w:tc>
        <w:tc>
          <w:tcPr>
            <w:tcW w:w="2955" w:type="dxa"/>
            <w:vAlign w:val="center"/>
          </w:tcPr>
          <w:p w14:paraId="748220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服务描述</w:t>
            </w:r>
          </w:p>
        </w:tc>
        <w:tc>
          <w:tcPr>
            <w:tcW w:w="682" w:type="dxa"/>
            <w:vAlign w:val="center"/>
          </w:tcPr>
          <w:p w14:paraId="44D41B1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数量</w:t>
            </w:r>
          </w:p>
        </w:tc>
        <w:tc>
          <w:tcPr>
            <w:tcW w:w="683" w:type="dxa"/>
            <w:vAlign w:val="center"/>
          </w:tcPr>
          <w:p w14:paraId="564C97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单位</w:t>
            </w:r>
          </w:p>
        </w:tc>
        <w:tc>
          <w:tcPr>
            <w:tcW w:w="1139" w:type="dxa"/>
            <w:vAlign w:val="center"/>
          </w:tcPr>
          <w:p w14:paraId="21616BC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单价</w:t>
            </w:r>
            <w:r>
              <w:rPr>
                <w:rFonts w:hint="eastAsia" w:ascii="宋体" w:hAnsi="宋体" w:cs="宋体"/>
                <w:b w:val="0"/>
                <w:bCs w:val="0"/>
                <w:i w:val="0"/>
                <w:iCs w:val="0"/>
                <w:color w:val="000000"/>
                <w:kern w:val="0"/>
                <w:sz w:val="21"/>
                <w:szCs w:val="21"/>
                <w:u w:val="none"/>
                <w:lang w:val="en-US" w:eastAsia="zh-CN" w:bidi="ar"/>
              </w:rPr>
              <w:t>限价</w:t>
            </w:r>
          </w:p>
        </w:tc>
      </w:tr>
      <w:tr w14:paraId="70FA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048379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2145" w:type="dxa"/>
            <w:vAlign w:val="center"/>
          </w:tcPr>
          <w:p w14:paraId="156880C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床单/床笠</w:t>
            </w:r>
          </w:p>
        </w:tc>
        <w:tc>
          <w:tcPr>
            <w:tcW w:w="2955" w:type="dxa"/>
            <w:vAlign w:val="center"/>
          </w:tcPr>
          <w:p w14:paraId="7D7862E2">
            <w:pPr>
              <w:keepNext w:val="0"/>
              <w:keepLines w:val="0"/>
              <w:pageBreakBefore w:val="0"/>
              <w:widowControl/>
              <w:suppressLineNumbers w:val="0"/>
              <w:tabs>
                <w:tab w:val="left" w:pos="8610"/>
              </w:tabs>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731E2C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2DB2066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51E79EA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3.50</w:t>
            </w:r>
            <w:r>
              <w:rPr>
                <w:rFonts w:hint="eastAsia" w:ascii="宋体" w:hAnsi="宋体" w:cs="宋体"/>
                <w:b w:val="0"/>
                <w:bCs w:val="0"/>
                <w:i w:val="0"/>
                <w:iCs w:val="0"/>
                <w:color w:val="000000"/>
                <w:kern w:val="0"/>
                <w:sz w:val="21"/>
                <w:szCs w:val="21"/>
                <w:u w:val="none"/>
                <w:lang w:val="en-US" w:eastAsia="zh-CN" w:bidi="ar"/>
              </w:rPr>
              <w:t>元</w:t>
            </w:r>
          </w:p>
        </w:tc>
      </w:tr>
      <w:tr w14:paraId="1159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38B787A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2145" w:type="dxa"/>
            <w:vAlign w:val="center"/>
          </w:tcPr>
          <w:p w14:paraId="6833FE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被套</w:t>
            </w:r>
          </w:p>
        </w:tc>
        <w:tc>
          <w:tcPr>
            <w:tcW w:w="2955" w:type="dxa"/>
            <w:vAlign w:val="center"/>
          </w:tcPr>
          <w:p w14:paraId="3C3B23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393FA9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4595AB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3059CF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5.50</w:t>
            </w:r>
            <w:r>
              <w:rPr>
                <w:rFonts w:hint="eastAsia" w:ascii="宋体" w:hAnsi="宋体" w:cs="宋体"/>
                <w:b w:val="0"/>
                <w:bCs w:val="0"/>
                <w:i w:val="0"/>
                <w:iCs w:val="0"/>
                <w:color w:val="000000"/>
                <w:kern w:val="0"/>
                <w:sz w:val="21"/>
                <w:szCs w:val="21"/>
                <w:u w:val="none"/>
                <w:lang w:val="en-US" w:eastAsia="zh-CN" w:bidi="ar"/>
              </w:rPr>
              <w:t>元</w:t>
            </w:r>
          </w:p>
        </w:tc>
      </w:tr>
      <w:tr w14:paraId="02EB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1FA7DF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2145" w:type="dxa"/>
            <w:vAlign w:val="center"/>
          </w:tcPr>
          <w:p w14:paraId="025372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枕套</w:t>
            </w:r>
          </w:p>
        </w:tc>
        <w:tc>
          <w:tcPr>
            <w:tcW w:w="2955" w:type="dxa"/>
            <w:vAlign w:val="center"/>
          </w:tcPr>
          <w:p w14:paraId="665C3B6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088453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0270287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2A7F988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1.50</w:t>
            </w:r>
            <w:r>
              <w:rPr>
                <w:rFonts w:hint="eastAsia" w:ascii="宋体" w:hAnsi="宋体" w:cs="宋体"/>
                <w:b w:val="0"/>
                <w:bCs w:val="0"/>
                <w:i w:val="0"/>
                <w:iCs w:val="0"/>
                <w:color w:val="000000"/>
                <w:kern w:val="0"/>
                <w:sz w:val="21"/>
                <w:szCs w:val="21"/>
                <w:u w:val="none"/>
                <w:lang w:val="en-US" w:eastAsia="zh-CN" w:bidi="ar"/>
              </w:rPr>
              <w:t>元</w:t>
            </w:r>
          </w:p>
        </w:tc>
      </w:tr>
      <w:tr w14:paraId="74F7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0C8CDC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2145" w:type="dxa"/>
            <w:vAlign w:val="center"/>
          </w:tcPr>
          <w:p w14:paraId="45AA1F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棉被（干洗）</w:t>
            </w:r>
          </w:p>
        </w:tc>
        <w:tc>
          <w:tcPr>
            <w:tcW w:w="2955" w:type="dxa"/>
            <w:vAlign w:val="center"/>
          </w:tcPr>
          <w:p w14:paraId="698ADF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73AB3D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1F53AF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612E24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20.00</w:t>
            </w:r>
            <w:r>
              <w:rPr>
                <w:rFonts w:hint="eastAsia" w:ascii="宋体" w:hAnsi="宋体" w:cs="宋体"/>
                <w:b w:val="0"/>
                <w:bCs w:val="0"/>
                <w:i w:val="0"/>
                <w:iCs w:val="0"/>
                <w:color w:val="000000"/>
                <w:kern w:val="0"/>
                <w:sz w:val="21"/>
                <w:szCs w:val="21"/>
                <w:u w:val="none"/>
                <w:lang w:val="en-US" w:eastAsia="zh-CN" w:bidi="ar"/>
              </w:rPr>
              <w:t>元</w:t>
            </w:r>
          </w:p>
        </w:tc>
      </w:tr>
      <w:tr w14:paraId="2A59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62B523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5</w:t>
            </w:r>
          </w:p>
        </w:tc>
        <w:tc>
          <w:tcPr>
            <w:tcW w:w="2145" w:type="dxa"/>
            <w:vAlign w:val="center"/>
          </w:tcPr>
          <w:p w14:paraId="4E4A59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枕头/枕芯（干洗）</w:t>
            </w:r>
          </w:p>
        </w:tc>
        <w:tc>
          <w:tcPr>
            <w:tcW w:w="2955" w:type="dxa"/>
            <w:vAlign w:val="center"/>
          </w:tcPr>
          <w:p w14:paraId="0FD352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6A49EF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04EB3E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3B3541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10.00</w:t>
            </w:r>
            <w:r>
              <w:rPr>
                <w:rFonts w:hint="eastAsia" w:ascii="宋体" w:hAnsi="宋体" w:cs="宋体"/>
                <w:b w:val="0"/>
                <w:bCs w:val="0"/>
                <w:i w:val="0"/>
                <w:iCs w:val="0"/>
                <w:color w:val="000000"/>
                <w:kern w:val="0"/>
                <w:sz w:val="21"/>
                <w:szCs w:val="21"/>
                <w:u w:val="none"/>
                <w:lang w:val="en-US" w:eastAsia="zh-CN" w:bidi="ar"/>
              </w:rPr>
              <w:t>元</w:t>
            </w:r>
          </w:p>
        </w:tc>
      </w:tr>
      <w:tr w14:paraId="38CC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60C169B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6</w:t>
            </w:r>
          </w:p>
        </w:tc>
        <w:tc>
          <w:tcPr>
            <w:tcW w:w="2145" w:type="dxa"/>
            <w:vAlign w:val="center"/>
          </w:tcPr>
          <w:p w14:paraId="3CF7CB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床褥（保护垫）</w:t>
            </w:r>
          </w:p>
        </w:tc>
        <w:tc>
          <w:tcPr>
            <w:tcW w:w="2955" w:type="dxa"/>
            <w:vAlign w:val="center"/>
          </w:tcPr>
          <w:p w14:paraId="4FBE52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5870A1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476F24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30C15F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12.00</w:t>
            </w:r>
            <w:r>
              <w:rPr>
                <w:rFonts w:hint="eastAsia" w:ascii="宋体" w:hAnsi="宋体" w:cs="宋体"/>
                <w:b w:val="0"/>
                <w:bCs w:val="0"/>
                <w:i w:val="0"/>
                <w:iCs w:val="0"/>
                <w:color w:val="000000"/>
                <w:kern w:val="0"/>
                <w:sz w:val="21"/>
                <w:szCs w:val="21"/>
                <w:u w:val="none"/>
                <w:lang w:val="en-US" w:eastAsia="zh-CN" w:bidi="ar"/>
              </w:rPr>
              <w:t>元</w:t>
            </w:r>
          </w:p>
        </w:tc>
      </w:tr>
      <w:tr w14:paraId="4262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282975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7</w:t>
            </w:r>
          </w:p>
        </w:tc>
        <w:tc>
          <w:tcPr>
            <w:tcW w:w="2145" w:type="dxa"/>
            <w:vAlign w:val="center"/>
          </w:tcPr>
          <w:p w14:paraId="61434D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浴袍</w:t>
            </w:r>
          </w:p>
        </w:tc>
        <w:tc>
          <w:tcPr>
            <w:tcW w:w="2955" w:type="dxa"/>
            <w:vAlign w:val="center"/>
          </w:tcPr>
          <w:p w14:paraId="3F4499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3E2466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11218A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087570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5.00</w:t>
            </w:r>
            <w:r>
              <w:rPr>
                <w:rFonts w:hint="eastAsia" w:ascii="宋体" w:hAnsi="宋体" w:cs="宋体"/>
                <w:b w:val="0"/>
                <w:bCs w:val="0"/>
                <w:i w:val="0"/>
                <w:iCs w:val="0"/>
                <w:color w:val="000000"/>
                <w:kern w:val="0"/>
                <w:sz w:val="21"/>
                <w:szCs w:val="21"/>
                <w:u w:val="none"/>
                <w:lang w:val="en-US" w:eastAsia="zh-CN" w:bidi="ar"/>
              </w:rPr>
              <w:t>元</w:t>
            </w:r>
          </w:p>
        </w:tc>
      </w:tr>
      <w:tr w14:paraId="73DA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5A11AE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8</w:t>
            </w:r>
          </w:p>
        </w:tc>
        <w:tc>
          <w:tcPr>
            <w:tcW w:w="2145" w:type="dxa"/>
            <w:vAlign w:val="center"/>
          </w:tcPr>
          <w:p w14:paraId="4F0F48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毛巾</w:t>
            </w:r>
          </w:p>
        </w:tc>
        <w:tc>
          <w:tcPr>
            <w:tcW w:w="2955" w:type="dxa"/>
            <w:vAlign w:val="center"/>
          </w:tcPr>
          <w:p w14:paraId="27697F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199524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379DEE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654D85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1.20</w:t>
            </w:r>
            <w:r>
              <w:rPr>
                <w:rFonts w:hint="eastAsia" w:ascii="宋体" w:hAnsi="宋体" w:cs="宋体"/>
                <w:b w:val="0"/>
                <w:bCs w:val="0"/>
                <w:i w:val="0"/>
                <w:iCs w:val="0"/>
                <w:color w:val="000000"/>
                <w:kern w:val="0"/>
                <w:sz w:val="21"/>
                <w:szCs w:val="21"/>
                <w:u w:val="none"/>
                <w:lang w:val="en-US" w:eastAsia="zh-CN" w:bidi="ar"/>
              </w:rPr>
              <w:t>元</w:t>
            </w:r>
          </w:p>
        </w:tc>
      </w:tr>
      <w:tr w14:paraId="4B25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31C320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9</w:t>
            </w:r>
          </w:p>
        </w:tc>
        <w:tc>
          <w:tcPr>
            <w:tcW w:w="2145" w:type="dxa"/>
            <w:vAlign w:val="center"/>
          </w:tcPr>
          <w:p w14:paraId="166151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浴巾</w:t>
            </w:r>
          </w:p>
        </w:tc>
        <w:tc>
          <w:tcPr>
            <w:tcW w:w="2955" w:type="dxa"/>
            <w:vAlign w:val="center"/>
          </w:tcPr>
          <w:p w14:paraId="164052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5E01B0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18A64A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31D901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2.50</w:t>
            </w:r>
            <w:r>
              <w:rPr>
                <w:rFonts w:hint="eastAsia" w:ascii="宋体" w:hAnsi="宋体" w:cs="宋体"/>
                <w:b w:val="0"/>
                <w:bCs w:val="0"/>
                <w:i w:val="0"/>
                <w:iCs w:val="0"/>
                <w:color w:val="000000"/>
                <w:kern w:val="0"/>
                <w:sz w:val="21"/>
                <w:szCs w:val="21"/>
                <w:u w:val="none"/>
                <w:lang w:val="en-US" w:eastAsia="zh-CN" w:bidi="ar"/>
              </w:rPr>
              <w:t>元</w:t>
            </w:r>
          </w:p>
        </w:tc>
      </w:tr>
      <w:tr w14:paraId="6F30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3AB563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10</w:t>
            </w:r>
          </w:p>
        </w:tc>
        <w:tc>
          <w:tcPr>
            <w:tcW w:w="2145" w:type="dxa"/>
            <w:vAlign w:val="center"/>
          </w:tcPr>
          <w:p w14:paraId="6E6D40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窗帘</w:t>
            </w:r>
          </w:p>
        </w:tc>
        <w:tc>
          <w:tcPr>
            <w:tcW w:w="2955" w:type="dxa"/>
            <w:vAlign w:val="center"/>
          </w:tcPr>
          <w:p w14:paraId="528403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10DC3C7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547CB5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59D2A8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15</w:t>
            </w:r>
            <w:r>
              <w:rPr>
                <w:rFonts w:hint="eastAsia" w:ascii="宋体" w:hAnsi="宋体" w:cs="宋体"/>
                <w:b w:val="0"/>
                <w:bCs w:val="0"/>
                <w:i w:val="0"/>
                <w:iCs w:val="0"/>
                <w:color w:val="000000"/>
                <w:kern w:val="0"/>
                <w:sz w:val="21"/>
                <w:szCs w:val="21"/>
                <w:u w:val="none"/>
                <w:lang w:val="en-US" w:eastAsia="zh-CN" w:bidi="ar"/>
              </w:rPr>
              <w:t>元</w:t>
            </w:r>
            <w:r>
              <w:rPr>
                <w:rFonts w:hint="eastAsia" w:ascii="宋体" w:hAnsi="宋体" w:eastAsia="宋体" w:cs="宋体"/>
                <w:b w:val="0"/>
                <w:bCs w:val="0"/>
                <w:i w:val="0"/>
                <w:iCs w:val="0"/>
                <w:color w:val="000000"/>
                <w:kern w:val="0"/>
                <w:sz w:val="21"/>
                <w:szCs w:val="21"/>
                <w:u w:val="none"/>
                <w:lang w:val="en-US" w:eastAsia="zh-CN" w:bidi="ar"/>
              </w:rPr>
              <w:t>/</w:t>
            </w:r>
            <w:r>
              <w:rPr>
                <w:rStyle w:val="53"/>
                <w:rFonts w:hint="eastAsia" w:ascii="宋体" w:hAnsi="宋体" w:eastAsia="宋体" w:cs="宋体"/>
                <w:b w:val="0"/>
                <w:bCs w:val="0"/>
                <w:sz w:val="21"/>
                <w:szCs w:val="21"/>
                <w:lang w:val="en-US" w:eastAsia="zh-CN" w:bidi="ar"/>
              </w:rPr>
              <w:t>㎡</w:t>
            </w:r>
          </w:p>
        </w:tc>
      </w:tr>
      <w:tr w14:paraId="3304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1015C69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11</w:t>
            </w:r>
          </w:p>
        </w:tc>
        <w:tc>
          <w:tcPr>
            <w:tcW w:w="2145" w:type="dxa"/>
            <w:vAlign w:val="center"/>
          </w:tcPr>
          <w:p w14:paraId="40A86C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饭堂台布2.8米台</w:t>
            </w:r>
          </w:p>
        </w:tc>
        <w:tc>
          <w:tcPr>
            <w:tcW w:w="2955" w:type="dxa"/>
            <w:vAlign w:val="center"/>
          </w:tcPr>
          <w:p w14:paraId="4569C8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253123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6EAF06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06B52A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15.00</w:t>
            </w:r>
            <w:r>
              <w:rPr>
                <w:rFonts w:hint="eastAsia" w:ascii="宋体" w:hAnsi="宋体" w:cs="宋体"/>
                <w:b w:val="0"/>
                <w:bCs w:val="0"/>
                <w:i w:val="0"/>
                <w:iCs w:val="0"/>
                <w:color w:val="000000"/>
                <w:kern w:val="0"/>
                <w:sz w:val="21"/>
                <w:szCs w:val="21"/>
                <w:u w:val="none"/>
                <w:lang w:val="en-US" w:eastAsia="zh-CN" w:bidi="ar"/>
              </w:rPr>
              <w:t>元</w:t>
            </w:r>
          </w:p>
        </w:tc>
      </w:tr>
      <w:tr w14:paraId="50C7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7FB5BC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12</w:t>
            </w:r>
          </w:p>
        </w:tc>
        <w:tc>
          <w:tcPr>
            <w:tcW w:w="2145" w:type="dxa"/>
            <w:vAlign w:val="center"/>
          </w:tcPr>
          <w:p w14:paraId="4392EB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饭堂凳套</w:t>
            </w:r>
          </w:p>
        </w:tc>
        <w:tc>
          <w:tcPr>
            <w:tcW w:w="2955" w:type="dxa"/>
            <w:vAlign w:val="center"/>
          </w:tcPr>
          <w:p w14:paraId="22B6A5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18691A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47F8EF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7D7C96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6.00</w:t>
            </w:r>
            <w:r>
              <w:rPr>
                <w:rFonts w:hint="eastAsia" w:ascii="宋体" w:hAnsi="宋体" w:cs="宋体"/>
                <w:b w:val="0"/>
                <w:bCs w:val="0"/>
                <w:i w:val="0"/>
                <w:iCs w:val="0"/>
                <w:color w:val="000000"/>
                <w:kern w:val="0"/>
                <w:sz w:val="21"/>
                <w:szCs w:val="21"/>
                <w:u w:val="none"/>
                <w:lang w:val="en-US" w:eastAsia="zh-CN" w:bidi="ar"/>
              </w:rPr>
              <w:t>元</w:t>
            </w:r>
          </w:p>
        </w:tc>
      </w:tr>
      <w:tr w14:paraId="654D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54FBEE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13</w:t>
            </w:r>
          </w:p>
        </w:tc>
        <w:tc>
          <w:tcPr>
            <w:tcW w:w="2145" w:type="dxa"/>
            <w:vAlign w:val="center"/>
          </w:tcPr>
          <w:p w14:paraId="547752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被子真空打包</w:t>
            </w:r>
          </w:p>
        </w:tc>
        <w:tc>
          <w:tcPr>
            <w:tcW w:w="2955" w:type="dxa"/>
            <w:vAlign w:val="center"/>
          </w:tcPr>
          <w:p w14:paraId="5D8F4C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真空打包、取配送</w:t>
            </w:r>
          </w:p>
        </w:tc>
        <w:tc>
          <w:tcPr>
            <w:tcW w:w="682" w:type="dxa"/>
            <w:vAlign w:val="center"/>
          </w:tcPr>
          <w:p w14:paraId="5224B5E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6E1C7A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4C52C7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25.00</w:t>
            </w:r>
            <w:r>
              <w:rPr>
                <w:rFonts w:hint="eastAsia" w:ascii="宋体" w:hAnsi="宋体" w:cs="宋体"/>
                <w:b w:val="0"/>
                <w:bCs w:val="0"/>
                <w:i w:val="0"/>
                <w:iCs w:val="0"/>
                <w:color w:val="000000"/>
                <w:kern w:val="0"/>
                <w:sz w:val="21"/>
                <w:szCs w:val="21"/>
                <w:u w:val="none"/>
                <w:lang w:val="en-US" w:eastAsia="zh-CN" w:bidi="ar"/>
              </w:rPr>
              <w:t>元</w:t>
            </w:r>
          </w:p>
        </w:tc>
      </w:tr>
    </w:tbl>
    <w:p w14:paraId="490C4124">
      <w:pPr>
        <w:spacing w:line="360" w:lineRule="auto"/>
        <w:ind w:firstLine="420" w:firstLineChars="200"/>
        <w:jc w:val="left"/>
        <w:rPr>
          <w:rFonts w:hint="default" w:ascii="宋体" w:hAnsi="宋体" w:cs="宋体"/>
          <w:szCs w:val="21"/>
          <w:lang w:val="en-US" w:eastAsia="zh-CN"/>
        </w:rPr>
      </w:pPr>
    </w:p>
    <w:p w14:paraId="4029656B">
      <w:pPr>
        <w:spacing w:line="360" w:lineRule="auto"/>
        <w:rPr>
          <w:rFonts w:ascii="宋体" w:hAnsi="宋体" w:cs="宋体"/>
          <w:highlight w:val="yellow"/>
        </w:rPr>
      </w:pPr>
    </w:p>
    <w:p w14:paraId="26983631">
      <w:pPr>
        <w:spacing w:line="360" w:lineRule="auto"/>
        <w:jc w:val="left"/>
        <w:rPr>
          <w:rFonts w:ascii="宋体" w:hAnsi="宋体" w:cs="宋体"/>
          <w:szCs w:val="21"/>
        </w:rPr>
      </w:pPr>
      <w:r>
        <w:rPr>
          <w:rFonts w:hint="eastAsia" w:ascii="宋体" w:hAnsi="宋体" w:cs="宋体"/>
          <w:b/>
          <w:bCs/>
          <w:sz w:val="28"/>
          <w:szCs w:val="28"/>
        </w:rPr>
        <w:t>四、项目商务要求</w:t>
      </w:r>
    </w:p>
    <w:p w14:paraId="51E03BC6">
      <w:pPr>
        <w:widowControl/>
        <w:shd w:val="clear" w:color="auto" w:fill="FFFFFF"/>
        <w:adjustRightInd w:val="0"/>
        <w:snapToGrid w:val="0"/>
        <w:spacing w:line="360" w:lineRule="auto"/>
        <w:rPr>
          <w:rFonts w:ascii="宋体" w:hAnsi="宋体" w:cs="宋体"/>
          <w:szCs w:val="21"/>
        </w:rPr>
      </w:pPr>
      <w:r>
        <w:rPr>
          <w:rFonts w:hint="eastAsia" w:ascii="宋体" w:hAnsi="宋体" w:cs="宋体"/>
          <w:szCs w:val="21"/>
        </w:rPr>
        <w:t>1、服务期限：</w:t>
      </w:r>
      <w:r>
        <w:rPr>
          <w:rFonts w:hint="eastAsia" w:ascii="宋体" w:hAnsi="宋体" w:cs="宋体"/>
          <w:szCs w:val="21"/>
          <w:lang w:val="en-US" w:eastAsia="zh-CN"/>
        </w:rPr>
        <w:t>本项目服务期限12个月，预计为2024年09月23日至2025年09月22日，具体服务起止时间以合同签订为准</w:t>
      </w:r>
      <w:r>
        <w:rPr>
          <w:rFonts w:hint="eastAsia" w:ascii="宋体" w:hAnsi="宋体" w:cs="宋体"/>
          <w:szCs w:val="21"/>
        </w:rPr>
        <w:t>。本项目为长期服务项目，合同期满可以续签，但合同履行期限最长不得超过三十六个月，如采购人对履约情况不满意，采购人不再续约</w:t>
      </w:r>
      <w:r>
        <w:rPr>
          <w:rFonts w:hint="eastAsia" w:ascii="宋体" w:hAnsi="宋体" w:cs="宋体"/>
          <w:szCs w:val="21"/>
          <w:lang w:val="zh-CN"/>
        </w:rPr>
        <w:t>。</w:t>
      </w:r>
    </w:p>
    <w:p w14:paraId="260682A1">
      <w:pPr>
        <w:widowControl/>
        <w:shd w:val="clear" w:color="auto" w:fill="FFFFFF"/>
        <w:adjustRightInd w:val="0"/>
        <w:snapToGrid w:val="0"/>
        <w:spacing w:line="360" w:lineRule="auto"/>
        <w:rPr>
          <w:rFonts w:ascii="宋体" w:hAnsi="宋体" w:cs="宋体"/>
          <w:szCs w:val="21"/>
        </w:rPr>
      </w:pPr>
      <w:r>
        <w:rPr>
          <w:rFonts w:hint="eastAsia" w:ascii="宋体" w:hAnsi="宋体" w:cs="宋体"/>
          <w:szCs w:val="21"/>
        </w:rPr>
        <w:t>2、服务地点：采购人指定。</w:t>
      </w:r>
    </w:p>
    <w:p w14:paraId="33DB7DEB">
      <w:pPr>
        <w:widowControl/>
        <w:shd w:val="clear" w:color="auto" w:fill="FFFFFF"/>
        <w:adjustRightInd w:val="0"/>
        <w:snapToGrid w:val="0"/>
        <w:spacing w:line="360" w:lineRule="auto"/>
        <w:rPr>
          <w:rFonts w:ascii="宋体" w:hAnsi="宋体" w:cs="宋体"/>
          <w:szCs w:val="21"/>
        </w:rPr>
      </w:pPr>
      <w:r>
        <w:rPr>
          <w:rFonts w:hint="eastAsia" w:ascii="宋体" w:hAnsi="宋体" w:cs="宋体"/>
          <w:szCs w:val="21"/>
        </w:rPr>
        <w:t>3、付款方式及合同签订：</w:t>
      </w:r>
    </w:p>
    <w:p w14:paraId="1F47E82D">
      <w:pPr>
        <w:widowControl/>
        <w:shd w:val="clear" w:color="auto" w:fill="FFFFFF"/>
        <w:adjustRightInd w:val="0"/>
        <w:snapToGrid w:val="0"/>
        <w:spacing w:line="360" w:lineRule="auto"/>
        <w:rPr>
          <w:rFonts w:ascii="宋体" w:hAnsi="宋体" w:cs="宋体"/>
          <w:szCs w:val="21"/>
        </w:rPr>
      </w:pPr>
      <w:r>
        <w:rPr>
          <w:rFonts w:hint="eastAsia" w:ascii="宋体" w:hAnsi="宋体" w:cs="宋体"/>
          <w:szCs w:val="21"/>
        </w:rPr>
        <w:t>（1）结算货款时，应由采购</w:t>
      </w:r>
      <w:r>
        <w:rPr>
          <w:rFonts w:hint="eastAsia" w:ascii="宋体" w:hAnsi="宋体" w:cs="宋体"/>
          <w:szCs w:val="21"/>
          <w:lang w:val="en-US" w:eastAsia="zh-CN"/>
        </w:rPr>
        <w:t>人</w:t>
      </w:r>
      <w:r>
        <w:rPr>
          <w:rFonts w:hint="eastAsia" w:ascii="宋体" w:hAnsi="宋体" w:cs="宋体"/>
          <w:szCs w:val="21"/>
        </w:rPr>
        <w:t>财务人员严格审核送货清单，并根据招标确定的折扣率予以结算</w:t>
      </w:r>
      <w:r>
        <w:rPr>
          <w:rFonts w:hint="eastAsia" w:ascii="宋体" w:hAnsi="宋体" w:cs="宋体"/>
          <w:szCs w:val="21"/>
          <w:lang w:eastAsia="zh-CN"/>
        </w:rPr>
        <w:t>，结算时价格=</w:t>
      </w:r>
      <w:r>
        <w:rPr>
          <w:rFonts w:hint="eastAsia" w:ascii="宋体" w:hAnsi="宋体" w:eastAsia="宋体" w:cs="宋体"/>
          <w:b w:val="0"/>
          <w:bCs w:val="0"/>
          <w:i w:val="0"/>
          <w:iCs w:val="0"/>
          <w:color w:val="000000"/>
          <w:kern w:val="0"/>
          <w:sz w:val="21"/>
          <w:szCs w:val="21"/>
          <w:u w:val="none"/>
          <w:lang w:val="en-US" w:eastAsia="zh-CN" w:bidi="ar"/>
        </w:rPr>
        <w:t>洗涤单品的单价限价</w:t>
      </w:r>
      <w:r>
        <w:rPr>
          <w:rFonts w:hint="eastAsia" w:ascii="宋体" w:hAnsi="宋体" w:cs="宋体"/>
          <w:szCs w:val="21"/>
          <w:lang w:eastAsia="zh-CN"/>
        </w:rPr>
        <w:t>*折扣率</w:t>
      </w:r>
      <w:r>
        <w:rPr>
          <w:rFonts w:hint="eastAsia" w:ascii="宋体" w:hAnsi="宋体" w:cs="宋体"/>
          <w:szCs w:val="21"/>
          <w:lang w:val="en-US" w:eastAsia="zh-CN"/>
        </w:rPr>
        <w:t>*洗涤数量</w:t>
      </w:r>
      <w:r>
        <w:rPr>
          <w:rFonts w:hint="eastAsia" w:ascii="宋体" w:hAnsi="宋体" w:cs="宋体"/>
          <w:szCs w:val="21"/>
        </w:rPr>
        <w:t>。款项每月结算一次，采购</w:t>
      </w:r>
      <w:r>
        <w:rPr>
          <w:rFonts w:hint="eastAsia" w:ascii="宋体" w:hAnsi="宋体" w:cs="宋体"/>
          <w:szCs w:val="21"/>
          <w:lang w:val="en-US" w:eastAsia="zh-CN"/>
        </w:rPr>
        <w:t>人</w:t>
      </w:r>
      <w:r>
        <w:rPr>
          <w:rFonts w:hint="eastAsia" w:ascii="宋体" w:hAnsi="宋体" w:cs="宋体"/>
          <w:szCs w:val="21"/>
        </w:rPr>
        <w:t>按现行有关规定，凭采购合同、发票等合同约定条款按进度拨付合同款项。</w:t>
      </w:r>
    </w:p>
    <w:p w14:paraId="61B13AEE">
      <w:pPr>
        <w:widowControl/>
        <w:shd w:val="clear" w:color="auto" w:fill="FFFFFF"/>
        <w:adjustRightInd w:val="0"/>
        <w:snapToGrid w:val="0"/>
        <w:spacing w:line="360" w:lineRule="auto"/>
        <w:rPr>
          <w:rFonts w:hint="eastAsia" w:ascii="宋体" w:hAnsi="宋体" w:cs="宋体"/>
          <w:szCs w:val="21"/>
        </w:rPr>
      </w:pPr>
      <w:r>
        <w:rPr>
          <w:rFonts w:hint="eastAsia" w:ascii="宋体" w:hAnsi="宋体" w:cs="宋体"/>
          <w:szCs w:val="21"/>
        </w:rPr>
        <w:t>（2）由深圳市公安局警察机动训练支队与中标供应商签订采购合同。</w:t>
      </w:r>
    </w:p>
    <w:p w14:paraId="0D3F7E03">
      <w:pPr>
        <w:widowControl/>
        <w:shd w:val="clear" w:color="auto" w:fill="FFFFFF"/>
        <w:adjustRightInd w:val="0"/>
        <w:snapToGrid w:val="0"/>
        <w:spacing w:line="360" w:lineRule="auto"/>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rPr>
        <w:t>以上为预计付款方式，合同订立时，采购人可根据实际情况最终确定支付方式，并在合同中予以明确。</w:t>
      </w:r>
    </w:p>
    <w:p w14:paraId="75746053">
      <w:pPr>
        <w:widowControl/>
        <w:shd w:val="clear" w:color="auto" w:fill="FFFFFF"/>
        <w:adjustRightInd w:val="0"/>
        <w:snapToGrid w:val="0"/>
        <w:spacing w:line="360" w:lineRule="auto"/>
        <w:rPr>
          <w:rFonts w:ascii="宋体" w:hAnsi="宋体" w:cs="宋体"/>
          <w:szCs w:val="21"/>
        </w:rPr>
      </w:pPr>
      <w:r>
        <w:rPr>
          <w:rFonts w:hint="eastAsia" w:ascii="宋体" w:hAnsi="宋体" w:cs="宋体"/>
          <w:szCs w:val="21"/>
        </w:rPr>
        <w:t>4、履约考核：</w:t>
      </w:r>
    </w:p>
    <w:p w14:paraId="14B0879E">
      <w:pPr>
        <w:widowControl/>
        <w:shd w:val="clear" w:color="auto" w:fill="FFFFFF"/>
        <w:adjustRightInd w:val="0"/>
        <w:snapToGrid w:val="0"/>
        <w:spacing w:line="360" w:lineRule="auto"/>
        <w:rPr>
          <w:rFonts w:ascii="宋体" w:hAnsi="宋体" w:cs="宋体"/>
          <w:szCs w:val="21"/>
        </w:rPr>
      </w:pPr>
      <w:r>
        <w:rPr>
          <w:rFonts w:hint="eastAsia" w:ascii="宋体" w:hAnsi="宋体" w:cs="宋体"/>
          <w:szCs w:val="21"/>
        </w:rPr>
        <w:t>采用月度考评及1年度考评的动态考核评价机制。</w:t>
      </w:r>
    </w:p>
    <w:p w14:paraId="7B9B5B77">
      <w:pPr>
        <w:widowControl/>
        <w:shd w:val="clear" w:color="auto" w:fill="FFFFFF"/>
        <w:adjustRightInd w:val="0"/>
        <w:snapToGrid w:val="0"/>
        <w:spacing w:line="360" w:lineRule="auto"/>
        <w:rPr>
          <w:rFonts w:ascii="宋体" w:hAnsi="宋体" w:cs="宋体"/>
          <w:szCs w:val="21"/>
        </w:rPr>
      </w:pPr>
      <w:r>
        <w:rPr>
          <w:rFonts w:hint="eastAsia" w:ascii="宋体" w:hAnsi="宋体" w:cs="宋体"/>
          <w:szCs w:val="21"/>
        </w:rPr>
        <w:t>（1）月度考评。月度考评采用量化评分方式进行。每月15日前根据上月的日常服务情况进行汇总，按照《服务供应商履约评价表》进行月度考评。考评采用百分制。</w:t>
      </w:r>
    </w:p>
    <w:p w14:paraId="3914C135">
      <w:pPr>
        <w:widowControl/>
        <w:shd w:val="clear" w:color="auto" w:fill="FFFFFF"/>
        <w:adjustRightInd w:val="0"/>
        <w:snapToGrid w:val="0"/>
        <w:spacing w:line="360" w:lineRule="auto"/>
        <w:rPr>
          <w:rFonts w:ascii="宋体" w:hAnsi="宋体" w:cs="宋体"/>
          <w:szCs w:val="21"/>
        </w:rPr>
      </w:pPr>
      <w:r>
        <w:rPr>
          <w:rFonts w:hint="eastAsia" w:ascii="宋体" w:hAnsi="宋体" w:cs="宋体"/>
          <w:szCs w:val="21"/>
        </w:rPr>
        <w:t>（2）年度考评（合同期考评）。考评小组根据月度考评的结果，对月度考核评分进行汇总统计，对供应商1年进行一次总评。并将考核评价结果作为是否续签服务合同的凭证。</w:t>
      </w:r>
    </w:p>
    <w:p w14:paraId="0EDE2098">
      <w:pPr>
        <w:widowControl/>
        <w:shd w:val="clear" w:color="auto" w:fill="FFFFFF"/>
        <w:adjustRightInd w:val="0"/>
        <w:snapToGrid w:val="0"/>
        <w:spacing w:line="360" w:lineRule="auto"/>
        <w:rPr>
          <w:rFonts w:ascii="宋体" w:hAnsi="宋体" w:cs="宋体"/>
          <w:b/>
          <w:bCs/>
          <w:highlight w:val="yellow"/>
        </w:rPr>
      </w:pPr>
      <w:r>
        <w:rPr>
          <w:rFonts w:hint="eastAsia" w:cs="仿宋" w:asciiTheme="minorEastAsia" w:hAnsiTheme="minorEastAsia"/>
          <w:b/>
          <w:bCs/>
          <w:highlight w:val="yellow"/>
        </w:rPr>
        <w:t>★</w:t>
      </w:r>
      <w:r>
        <w:rPr>
          <w:rFonts w:hint="eastAsia" w:ascii="宋体" w:hAnsi="宋体" w:cs="宋体"/>
          <w:b/>
          <w:bCs/>
          <w:highlight w:val="yellow"/>
        </w:rPr>
        <w:t>5、报价要求：</w:t>
      </w:r>
    </w:p>
    <w:p w14:paraId="598F3F6B">
      <w:pPr>
        <w:widowControl/>
        <w:shd w:val="clear" w:color="auto" w:fill="FFFFFF"/>
        <w:adjustRightInd w:val="0"/>
        <w:snapToGrid w:val="0"/>
        <w:spacing w:line="360" w:lineRule="auto"/>
        <w:rPr>
          <w:rFonts w:cs="仿宋" w:asciiTheme="minorEastAsia" w:hAnsiTheme="minorEastAsia"/>
          <w:b/>
          <w:bCs/>
          <w:highlight w:val="yellow"/>
        </w:rPr>
      </w:pPr>
      <w:r>
        <w:rPr>
          <w:rFonts w:hint="eastAsia" w:cs="仿宋" w:asciiTheme="minorEastAsia" w:hAnsiTheme="minorEastAsia"/>
          <w:b/>
          <w:bCs/>
          <w:highlight w:val="yellow"/>
          <w:lang w:eastAsia="zh-CN"/>
        </w:rPr>
        <w:t>（</w:t>
      </w:r>
      <w:r>
        <w:rPr>
          <w:rFonts w:hint="eastAsia" w:cs="仿宋" w:asciiTheme="minorEastAsia" w:hAnsiTheme="minorEastAsia"/>
          <w:b/>
          <w:bCs/>
          <w:highlight w:val="yellow"/>
          <w:lang w:val="en-US" w:eastAsia="zh-CN"/>
        </w:rPr>
        <w:t>1</w:t>
      </w:r>
      <w:r>
        <w:rPr>
          <w:rFonts w:hint="eastAsia" w:cs="仿宋" w:asciiTheme="minorEastAsia" w:hAnsiTheme="minorEastAsia"/>
          <w:b/>
          <w:bCs/>
          <w:highlight w:val="yellow"/>
          <w:lang w:eastAsia="zh-CN"/>
        </w:rPr>
        <w:t>）</w:t>
      </w:r>
      <w:r>
        <w:rPr>
          <w:rFonts w:hint="eastAsia" w:cs="仿宋" w:asciiTheme="minorEastAsia" w:hAnsiTheme="minorEastAsia"/>
          <w:b/>
          <w:bCs/>
          <w:highlight w:val="yellow"/>
        </w:rPr>
        <w:t>本项目不涉及具体投标金额（无须投标人在投标文件中填报具体投标金额），投标人只需在投标文件项目报价表中填报唯一的折扣率。投标人应根据自身成本自行填报“折扣率”，应包括服务成本、法定税费和企业的利润，但不得以低于其成本的报价竞标。</w:t>
      </w:r>
    </w:p>
    <w:p w14:paraId="1BF95026">
      <w:pPr>
        <w:widowControl/>
        <w:shd w:val="clear" w:color="auto" w:fill="FFFFFF"/>
        <w:adjustRightInd w:val="0"/>
        <w:snapToGrid w:val="0"/>
        <w:spacing w:line="360" w:lineRule="auto"/>
        <w:rPr>
          <w:rFonts w:cs="仿宋" w:asciiTheme="minorEastAsia" w:hAnsiTheme="minorEastAsia"/>
          <w:b/>
          <w:bCs/>
          <w:highlight w:val="yellow"/>
        </w:rPr>
      </w:pPr>
      <w:r>
        <w:rPr>
          <w:rFonts w:hint="eastAsia" w:cs="仿宋" w:asciiTheme="minorEastAsia" w:hAnsiTheme="minorEastAsia"/>
          <w:b/>
          <w:bCs/>
          <w:highlight w:val="yellow"/>
          <w:lang w:eastAsia="zh-CN"/>
        </w:rPr>
        <w:t>（</w:t>
      </w:r>
      <w:r>
        <w:rPr>
          <w:rFonts w:hint="eastAsia" w:cs="仿宋" w:asciiTheme="minorEastAsia" w:hAnsiTheme="minorEastAsia"/>
          <w:b/>
          <w:bCs/>
          <w:highlight w:val="yellow"/>
          <w:lang w:val="en-US" w:eastAsia="zh-CN"/>
        </w:rPr>
        <w:t>2</w:t>
      </w:r>
      <w:r>
        <w:rPr>
          <w:rFonts w:hint="eastAsia" w:cs="仿宋" w:asciiTheme="minorEastAsia" w:hAnsiTheme="minorEastAsia"/>
          <w:b/>
          <w:bCs/>
          <w:highlight w:val="yellow"/>
          <w:lang w:eastAsia="zh-CN"/>
        </w:rPr>
        <w:t>）</w:t>
      </w:r>
      <w:r>
        <w:rPr>
          <w:rFonts w:hint="eastAsia" w:cs="仿宋" w:asciiTheme="minorEastAsia" w:hAnsiTheme="minorEastAsia"/>
          <w:b/>
          <w:bCs/>
          <w:highlight w:val="yellow"/>
        </w:rPr>
        <w:t>“折扣率”填写要求</w:t>
      </w:r>
    </w:p>
    <w:p w14:paraId="00134796">
      <w:pPr>
        <w:widowControl/>
        <w:shd w:val="clear" w:color="auto" w:fill="FFFFFF"/>
        <w:adjustRightInd w:val="0"/>
        <w:snapToGrid w:val="0"/>
        <w:spacing w:line="360" w:lineRule="auto"/>
        <w:rPr>
          <w:rFonts w:cs="仿宋" w:asciiTheme="minorEastAsia" w:hAnsiTheme="minorEastAsia"/>
          <w:b/>
          <w:bCs/>
          <w:highlight w:val="yellow"/>
        </w:rPr>
      </w:pPr>
      <w:r>
        <w:rPr>
          <w:rFonts w:hint="eastAsia" w:ascii="宋体" w:hAnsi="宋体" w:eastAsia="宋体" w:cs="宋体"/>
          <w:b/>
          <w:bCs/>
          <w:highlight w:val="yellow"/>
        </w:rPr>
        <w:t>①</w:t>
      </w:r>
      <w:r>
        <w:rPr>
          <w:rFonts w:hint="eastAsia" w:cs="仿宋" w:asciiTheme="minorEastAsia" w:hAnsiTheme="minorEastAsia"/>
          <w:b/>
          <w:bCs/>
          <w:highlight w:val="yellow"/>
          <w:lang w:val="en-US" w:eastAsia="zh-CN"/>
        </w:rPr>
        <w:t xml:space="preserve"> </w:t>
      </w:r>
      <w:r>
        <w:rPr>
          <w:rFonts w:hint="eastAsia" w:cs="仿宋" w:asciiTheme="minorEastAsia" w:hAnsiTheme="minorEastAsia"/>
          <w:b/>
          <w:bCs/>
          <w:highlight w:val="yellow"/>
        </w:rPr>
        <w:t>填写要求：0＜折扣率≤1，未按此要求填写将作废标处理。</w:t>
      </w:r>
    </w:p>
    <w:p w14:paraId="0D42902C">
      <w:pPr>
        <w:widowControl/>
        <w:shd w:val="clear" w:color="auto" w:fill="FFFFFF"/>
        <w:adjustRightInd w:val="0"/>
        <w:snapToGrid w:val="0"/>
        <w:spacing w:line="360" w:lineRule="auto"/>
        <w:rPr>
          <w:rFonts w:cs="仿宋" w:asciiTheme="minorEastAsia" w:hAnsiTheme="minorEastAsia"/>
          <w:b/>
          <w:bCs/>
          <w:highlight w:val="yellow"/>
        </w:rPr>
      </w:pPr>
      <w:r>
        <w:rPr>
          <w:rFonts w:hint="eastAsia" w:ascii="宋体" w:hAnsi="宋体" w:eastAsia="宋体" w:cs="宋体"/>
          <w:b/>
          <w:bCs/>
          <w:highlight w:val="yellow"/>
        </w:rPr>
        <w:t>②</w:t>
      </w:r>
      <w:r>
        <w:rPr>
          <w:rFonts w:hint="eastAsia" w:cs="仿宋" w:asciiTheme="minorEastAsia" w:hAnsiTheme="minorEastAsia"/>
          <w:b/>
          <w:bCs/>
          <w:highlight w:val="yellow"/>
          <w:lang w:val="en-US" w:eastAsia="zh-CN"/>
        </w:rPr>
        <w:t xml:space="preserve"> </w:t>
      </w:r>
      <w:r>
        <w:rPr>
          <w:rFonts w:hint="eastAsia" w:cs="仿宋" w:asciiTheme="minorEastAsia" w:hAnsiTheme="minorEastAsia"/>
          <w:b/>
          <w:bCs/>
          <w:highlight w:val="yellow"/>
        </w:rPr>
        <w:t>填写的“折扣率”应为小数，（如：0.90、0.80、0.78，保留小数点后两位）；</w:t>
      </w:r>
    </w:p>
    <w:p w14:paraId="270E7F7E">
      <w:pPr>
        <w:widowControl/>
        <w:shd w:val="clear" w:color="auto" w:fill="FFFFFF"/>
        <w:adjustRightInd w:val="0"/>
        <w:snapToGrid w:val="0"/>
        <w:spacing w:line="360" w:lineRule="auto"/>
        <w:rPr>
          <w:rFonts w:cs="仿宋" w:asciiTheme="minorEastAsia" w:hAnsiTheme="minorEastAsia"/>
          <w:b/>
          <w:bCs/>
          <w:highlight w:val="yellow"/>
        </w:rPr>
      </w:pPr>
      <w:r>
        <w:rPr>
          <w:rFonts w:hint="eastAsia" w:ascii="宋体" w:hAnsi="宋体" w:eastAsia="宋体" w:cs="宋体"/>
          <w:b/>
          <w:bCs/>
          <w:highlight w:val="yellow"/>
        </w:rPr>
        <w:t>③</w:t>
      </w:r>
      <w:r>
        <w:rPr>
          <w:rFonts w:hint="eastAsia" w:cs="仿宋" w:asciiTheme="minorEastAsia" w:hAnsiTheme="minorEastAsia"/>
          <w:b/>
          <w:bCs/>
          <w:highlight w:val="yellow"/>
          <w:lang w:val="en-US" w:eastAsia="zh-CN"/>
        </w:rPr>
        <w:t xml:space="preserve"> </w:t>
      </w:r>
      <w:r>
        <w:rPr>
          <w:rFonts w:hint="eastAsia" w:cs="仿宋" w:asciiTheme="minorEastAsia" w:hAnsiTheme="minorEastAsia"/>
          <w:b/>
          <w:bCs/>
          <w:highlight w:val="yellow"/>
        </w:rPr>
        <w:t>投标</w:t>
      </w:r>
      <w:r>
        <w:rPr>
          <w:rFonts w:hint="eastAsia" w:cs="仿宋" w:asciiTheme="minorEastAsia" w:hAnsiTheme="minorEastAsia"/>
          <w:b/>
          <w:bCs/>
          <w:highlight w:val="yellow"/>
          <w:lang w:val="en-US" w:eastAsia="zh-CN"/>
        </w:rPr>
        <w:t>供应商</w:t>
      </w:r>
      <w:r>
        <w:rPr>
          <w:rFonts w:hint="eastAsia" w:cs="仿宋" w:asciiTheme="minorEastAsia" w:hAnsiTheme="minorEastAsia"/>
          <w:b/>
          <w:bCs/>
          <w:highlight w:val="yellow"/>
        </w:rPr>
        <w:t>参与投标只允许填报一个“折扣率”，不允许填报2个（或以上）的“折扣率”；填报了2个或以上“折扣率”的，其投标将直接作投标无效处理；</w:t>
      </w:r>
    </w:p>
    <w:p w14:paraId="29C7FEE4">
      <w:pPr>
        <w:widowControl/>
        <w:shd w:val="clear" w:color="auto" w:fill="FFFFFF"/>
        <w:adjustRightInd w:val="0"/>
        <w:snapToGrid w:val="0"/>
        <w:spacing w:line="360" w:lineRule="auto"/>
        <w:rPr>
          <w:rFonts w:cs="仿宋" w:asciiTheme="minorEastAsia" w:hAnsiTheme="minorEastAsia"/>
        </w:rPr>
      </w:pPr>
      <w:r>
        <w:rPr>
          <w:rFonts w:hint="eastAsia" w:ascii="宋体" w:hAnsi="宋体" w:eastAsia="宋体" w:cs="宋体"/>
          <w:b/>
          <w:bCs/>
          <w:highlight w:val="yellow"/>
        </w:rPr>
        <w:t>④</w:t>
      </w:r>
      <w:r>
        <w:rPr>
          <w:rFonts w:hint="eastAsia" w:cs="仿宋" w:asciiTheme="minorEastAsia" w:hAnsiTheme="minorEastAsia"/>
          <w:b/>
          <w:bCs/>
          <w:highlight w:val="yellow"/>
          <w:lang w:val="en-US" w:eastAsia="zh-CN"/>
        </w:rPr>
        <w:t xml:space="preserve"> </w:t>
      </w:r>
      <w:r>
        <w:rPr>
          <w:rFonts w:hint="eastAsia" w:cs="仿宋" w:asciiTheme="minorEastAsia" w:hAnsiTheme="minorEastAsia"/>
          <w:b/>
          <w:bCs/>
          <w:highlight w:val="yellow"/>
        </w:rPr>
        <w:t>“折扣率”缺填、漏填将直接作投标无效处理。</w:t>
      </w:r>
    </w:p>
    <w:p w14:paraId="12C275D7">
      <w:pPr>
        <w:spacing w:line="360" w:lineRule="auto"/>
        <w:rPr>
          <w:rFonts w:cs="仿宋" w:asciiTheme="minorEastAsia" w:hAnsiTheme="minorEastAsia" w:eastAsiaTheme="minorEastAsia"/>
        </w:rPr>
      </w:pPr>
    </w:p>
    <w:p w14:paraId="059D2DA9">
      <w:pPr>
        <w:spacing w:line="360" w:lineRule="auto"/>
        <w:rPr>
          <w:rFonts w:cs="仿宋" w:asciiTheme="minorEastAsia" w:hAnsiTheme="minorEastAsia" w:eastAsiaTheme="minorEastAsia"/>
        </w:rPr>
      </w:pPr>
    </w:p>
    <w:p w14:paraId="6246592D">
      <w:pPr>
        <w:spacing w:line="360" w:lineRule="auto"/>
        <w:rPr>
          <w:rFonts w:cs="仿宋" w:asciiTheme="minorEastAsia" w:hAnsiTheme="minorEastAsia" w:eastAsiaTheme="minorEastAsia"/>
        </w:rPr>
      </w:pPr>
    </w:p>
    <w:p w14:paraId="09B24B2A">
      <w:pPr>
        <w:spacing w:line="360" w:lineRule="auto"/>
        <w:rPr>
          <w:rFonts w:cs="仿宋" w:asciiTheme="minorEastAsia" w:hAnsiTheme="minorEastAsia" w:eastAsiaTheme="minorEastAsia"/>
        </w:rPr>
      </w:pPr>
    </w:p>
    <w:p w14:paraId="40AAE116">
      <w:pPr>
        <w:spacing w:line="360" w:lineRule="auto"/>
        <w:rPr>
          <w:rFonts w:cs="仿宋" w:asciiTheme="minorEastAsia" w:hAnsiTheme="minorEastAsia" w:eastAsiaTheme="minorEastAsia"/>
        </w:rPr>
      </w:pPr>
    </w:p>
    <w:p w14:paraId="2066E390">
      <w:pPr>
        <w:rPr>
          <w:rFonts w:cs="仿宋" w:asciiTheme="minorEastAsia" w:hAnsiTheme="minorEastAsia" w:eastAsiaTheme="minorEastAsia"/>
        </w:rPr>
      </w:pPr>
      <w:r>
        <w:rPr>
          <w:rFonts w:cs="仿宋" w:asciiTheme="minorEastAsia" w:hAnsiTheme="minorEastAsia" w:eastAsiaTheme="minorEastAsia"/>
        </w:rPr>
        <w:br w:type="page"/>
      </w:r>
    </w:p>
    <w:p w14:paraId="5D012CD9">
      <w:pPr>
        <w:pStyle w:val="2"/>
      </w:pPr>
    </w:p>
    <w:p w14:paraId="22565F4A">
      <w:pPr>
        <w:rPr>
          <w:rFonts w:cs="仿宋" w:asciiTheme="minorEastAsia" w:hAnsiTheme="minorEastAsia" w:eastAsiaTheme="minorEastAsia"/>
        </w:rPr>
      </w:pPr>
    </w:p>
    <w:p w14:paraId="5B678191">
      <w:pPr>
        <w:rPr>
          <w:rFonts w:cs="仿宋" w:asciiTheme="minorEastAsia" w:hAnsiTheme="minorEastAsia" w:eastAsiaTheme="minorEastAsia"/>
        </w:rPr>
      </w:pPr>
    </w:p>
    <w:p w14:paraId="1ABA6EAB">
      <w:pPr>
        <w:rPr>
          <w:rFonts w:cs="仿宋" w:asciiTheme="minorEastAsia" w:hAnsiTheme="minorEastAsia" w:eastAsiaTheme="minorEastAsia"/>
        </w:rPr>
      </w:pPr>
    </w:p>
    <w:p w14:paraId="722F21E3">
      <w:pPr>
        <w:rPr>
          <w:rFonts w:cs="仿宋" w:asciiTheme="minorEastAsia" w:hAnsiTheme="minorEastAsia" w:eastAsiaTheme="minorEastAsia"/>
        </w:rPr>
      </w:pPr>
    </w:p>
    <w:p w14:paraId="042FFC1E">
      <w:pPr>
        <w:rPr>
          <w:rFonts w:cs="仿宋" w:asciiTheme="minorEastAsia" w:hAnsiTheme="minorEastAsia" w:eastAsiaTheme="minorEastAsia"/>
        </w:rPr>
      </w:pPr>
    </w:p>
    <w:p w14:paraId="5DAF63DB">
      <w:pPr>
        <w:rPr>
          <w:rFonts w:cs="仿宋" w:asciiTheme="minorEastAsia" w:hAnsiTheme="minorEastAsia" w:eastAsiaTheme="minorEastAsia"/>
        </w:rPr>
      </w:pPr>
    </w:p>
    <w:p w14:paraId="1B0B0AE1">
      <w:pPr>
        <w:rPr>
          <w:rFonts w:cs="仿宋" w:asciiTheme="minorEastAsia" w:hAnsiTheme="minorEastAsia" w:eastAsiaTheme="minorEastAsia"/>
        </w:rPr>
      </w:pPr>
    </w:p>
    <w:p w14:paraId="4FA064EE">
      <w:pPr>
        <w:rPr>
          <w:rFonts w:cs="仿宋" w:asciiTheme="minorEastAsia" w:hAnsiTheme="minorEastAsia" w:eastAsiaTheme="minorEastAsia"/>
        </w:rPr>
      </w:pPr>
    </w:p>
    <w:p w14:paraId="60B67728">
      <w:pPr>
        <w:rPr>
          <w:rFonts w:cs="仿宋" w:asciiTheme="minorEastAsia" w:hAnsiTheme="minorEastAsia" w:eastAsiaTheme="minorEastAsia"/>
        </w:rPr>
      </w:pPr>
    </w:p>
    <w:p w14:paraId="01C11048">
      <w:pPr>
        <w:rPr>
          <w:rFonts w:cs="仿宋" w:asciiTheme="minorEastAsia" w:hAnsiTheme="minorEastAsia" w:eastAsiaTheme="minorEastAsia"/>
        </w:rPr>
      </w:pPr>
    </w:p>
    <w:p w14:paraId="09A80B10">
      <w:pPr>
        <w:rPr>
          <w:rFonts w:cs="仿宋" w:asciiTheme="minorEastAsia" w:hAnsiTheme="minorEastAsia" w:eastAsiaTheme="minorEastAsia"/>
        </w:rPr>
      </w:pPr>
    </w:p>
    <w:p w14:paraId="15957F0B">
      <w:pPr>
        <w:adjustRightInd w:val="0"/>
        <w:snapToGrid w:val="0"/>
        <w:spacing w:line="300" w:lineRule="auto"/>
        <w:jc w:val="center"/>
        <w:rPr>
          <w:rFonts w:cs="仿宋" w:asciiTheme="minorEastAsia" w:hAnsiTheme="minorEastAsia" w:eastAsiaTheme="minorEastAsia"/>
          <w:b/>
          <w:snapToGrid w:val="0"/>
          <w:kern w:val="0"/>
          <w:sz w:val="56"/>
          <w:szCs w:val="96"/>
        </w:rPr>
      </w:pPr>
    </w:p>
    <w:p w14:paraId="57A9DAED">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第三部分</w:t>
      </w:r>
    </w:p>
    <w:p w14:paraId="3BA01D20">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投标文件格式</w:t>
      </w:r>
    </w:p>
    <w:p w14:paraId="20801914">
      <w:pPr>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br w:type="page"/>
      </w:r>
    </w:p>
    <w:p w14:paraId="37D0A1ED">
      <w:pPr>
        <w:widowControl/>
        <w:jc w:val="left"/>
        <w:rPr>
          <w:rFonts w:cs="仿宋" w:asciiTheme="minorEastAsia" w:hAnsiTheme="minorEastAsia" w:eastAsiaTheme="minorEastAsia"/>
        </w:rPr>
      </w:pPr>
    </w:p>
    <w:p w14:paraId="56EB38B5">
      <w:pPr>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投标文件格式</w:t>
      </w:r>
    </w:p>
    <w:p w14:paraId="2E75296F">
      <w:pPr>
        <w:rPr>
          <w:rFonts w:cs="仿宋" w:asciiTheme="minorEastAsia" w:hAnsiTheme="minorEastAsia" w:eastAsiaTheme="minorEastAsia"/>
        </w:rPr>
      </w:pP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09"/>
      </w:tblGrid>
      <w:tr w14:paraId="76A2D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5A814579">
            <w:pPr>
              <w:spacing w:line="360" w:lineRule="auto"/>
              <w:rPr>
                <w:rFonts w:asciiTheme="minorEastAsia" w:hAnsiTheme="minorEastAsia" w:eastAsiaTheme="minorEastAsia"/>
              </w:rPr>
            </w:pPr>
            <w:r>
              <w:rPr>
                <w:rFonts w:hint="eastAsia" w:cs="仿宋" w:asciiTheme="minorEastAsia" w:hAnsiTheme="minorEastAsia" w:eastAsiaTheme="minorEastAsia"/>
                <w:sz w:val="24"/>
              </w:rPr>
              <w:t>一、投标文件目录（自拟）</w:t>
            </w:r>
          </w:p>
        </w:tc>
      </w:tr>
      <w:tr w14:paraId="10775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6C40084A">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二、政府采购违法行为风险知悉确认书</w:t>
            </w:r>
          </w:p>
        </w:tc>
      </w:tr>
      <w:tr w14:paraId="5A0BD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535BDEB2">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三、评审指引表</w:t>
            </w:r>
          </w:p>
        </w:tc>
      </w:tr>
      <w:tr w14:paraId="09948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67F6A7A2">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四、声明函（格式1）</w:t>
            </w:r>
          </w:p>
        </w:tc>
      </w:tr>
      <w:tr w14:paraId="5E0E6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71E6C945">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五、投标供应商资格证明文件（格式2）</w:t>
            </w:r>
          </w:p>
        </w:tc>
      </w:tr>
      <w:tr w14:paraId="669BF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622F7385">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六、评分中涉及的承诺及声明函（格式3）</w:t>
            </w:r>
          </w:p>
        </w:tc>
      </w:tr>
      <w:tr w14:paraId="44893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414EF461">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七、开标一览表（格式4）</w:t>
            </w:r>
          </w:p>
          <w:p w14:paraId="44DA1DAA">
            <w:pPr>
              <w:widowControl/>
              <w:spacing w:line="360" w:lineRule="auto"/>
              <w:rPr>
                <w:rFonts w:cs="仿宋" w:asciiTheme="minorEastAsia" w:hAnsiTheme="minorEastAsia" w:eastAsiaTheme="minorEastAsia"/>
                <w:b/>
                <w:color w:val="FF0000"/>
                <w:sz w:val="24"/>
              </w:rPr>
            </w:pP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b/>
                <w:color w:val="FF0000"/>
              </w:rPr>
              <w:t>注：此表应与“法定代表人（负责人）证明书、法定代表人（负责人）授权委托书”一起密封于一信封，在递交投标文件时单独交与采购代理机构。（如法定代表人递交，则无需法定代表人（负责人）授权委托书）</w:t>
            </w:r>
          </w:p>
        </w:tc>
      </w:tr>
      <w:tr w14:paraId="246E7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405745FB">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八、报价表（格式5）</w:t>
            </w:r>
          </w:p>
        </w:tc>
      </w:tr>
      <w:tr w14:paraId="5934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70D39483">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九、服务方案（格式6）</w:t>
            </w:r>
          </w:p>
        </w:tc>
      </w:tr>
      <w:tr w14:paraId="1EA1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6898186A">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十、差异表（格式7）</w:t>
            </w:r>
          </w:p>
        </w:tc>
      </w:tr>
      <w:tr w14:paraId="23650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6B3C29C8">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十一、其他征集文件要求的资料或投标供应商认为需要补充的资料（格式8）</w:t>
            </w:r>
          </w:p>
        </w:tc>
      </w:tr>
    </w:tbl>
    <w:p w14:paraId="0B57952A">
      <w:pPr>
        <w:rPr>
          <w:rFonts w:cs="仿宋" w:asciiTheme="minorEastAsia" w:hAnsiTheme="minorEastAsia" w:eastAsiaTheme="minorEastAsia"/>
        </w:rPr>
      </w:pPr>
    </w:p>
    <w:p w14:paraId="2D80A6A0">
      <w:pPr>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1CAC3062">
      <w:pPr>
        <w:rPr>
          <w:rFonts w:cs="仿宋" w:asciiTheme="minorEastAsia" w:hAnsiTheme="minorEastAsia" w:eastAsiaTheme="minorEastAsia"/>
        </w:rPr>
      </w:pPr>
    </w:p>
    <w:p w14:paraId="705F166F">
      <w:pPr>
        <w:rPr>
          <w:rFonts w:cs="仿宋" w:asciiTheme="minorEastAsia" w:hAnsiTheme="minorEastAsia" w:eastAsiaTheme="minorEastAsia"/>
        </w:rPr>
      </w:pPr>
    </w:p>
    <w:p w14:paraId="3C5CEE40">
      <w:pPr>
        <w:rPr>
          <w:rFonts w:cs="仿宋" w:asciiTheme="minorEastAsia" w:hAnsiTheme="minorEastAsia" w:eastAsiaTheme="minorEastAsia"/>
        </w:rPr>
      </w:pPr>
    </w:p>
    <w:p w14:paraId="6073AADB">
      <w:pPr>
        <w:rPr>
          <w:rFonts w:cs="仿宋" w:asciiTheme="minorEastAsia" w:hAnsiTheme="minorEastAsia" w:eastAsiaTheme="minorEastAsia"/>
        </w:rPr>
      </w:pPr>
    </w:p>
    <w:p w14:paraId="66A06CBF">
      <w:pPr>
        <w:rPr>
          <w:rFonts w:cs="仿宋" w:asciiTheme="minorEastAsia" w:hAnsiTheme="minorEastAsia" w:eastAsiaTheme="minorEastAsia"/>
        </w:rPr>
      </w:pPr>
    </w:p>
    <w:p w14:paraId="4E01EB79">
      <w:pPr>
        <w:rPr>
          <w:rFonts w:cs="仿宋" w:asciiTheme="minorEastAsia" w:hAnsiTheme="minorEastAsia" w:eastAsiaTheme="minorEastAsia"/>
        </w:rPr>
      </w:pPr>
    </w:p>
    <w:p w14:paraId="4600A0E5">
      <w:pPr>
        <w:rPr>
          <w:rFonts w:cs="仿宋" w:asciiTheme="minorEastAsia" w:hAnsiTheme="minorEastAsia" w:eastAsiaTheme="minorEastAsia"/>
        </w:rPr>
      </w:pPr>
    </w:p>
    <w:p w14:paraId="14829E0C">
      <w:pPr>
        <w:rPr>
          <w:rFonts w:cs="仿宋" w:asciiTheme="minorEastAsia" w:hAnsiTheme="minorEastAsia" w:eastAsiaTheme="minorEastAsia"/>
        </w:rPr>
      </w:pPr>
    </w:p>
    <w:p w14:paraId="0BE5AE94">
      <w:pPr>
        <w:rPr>
          <w:rFonts w:cs="仿宋" w:asciiTheme="minorEastAsia" w:hAnsiTheme="minorEastAsia" w:eastAsiaTheme="minorEastAsia"/>
        </w:rPr>
      </w:pPr>
    </w:p>
    <w:p w14:paraId="0142D540">
      <w:pPr>
        <w:jc w:val="center"/>
        <w:rPr>
          <w:rFonts w:cs="仿宋" w:asciiTheme="minorEastAsia" w:hAnsiTheme="minorEastAsia" w:eastAsiaTheme="minorEastAsia"/>
          <w:b/>
          <w:sz w:val="56"/>
          <w:szCs w:val="56"/>
        </w:rPr>
      </w:pPr>
      <w:r>
        <w:rPr>
          <w:rFonts w:hint="eastAsia" w:cs="仿宋" w:asciiTheme="minorEastAsia" w:hAnsiTheme="minorEastAsia" w:eastAsiaTheme="minorEastAsia"/>
          <w:b/>
          <w:sz w:val="56"/>
          <w:szCs w:val="56"/>
        </w:rPr>
        <w:t>投 标 文 件</w:t>
      </w:r>
    </w:p>
    <w:p w14:paraId="66F6B067">
      <w:pPr>
        <w:rPr>
          <w:rFonts w:cs="仿宋" w:asciiTheme="minorEastAsia" w:hAnsiTheme="minorEastAsia" w:eastAsiaTheme="minorEastAsia"/>
        </w:rPr>
      </w:pPr>
    </w:p>
    <w:p w14:paraId="0F9CE659">
      <w:pPr>
        <w:rPr>
          <w:rFonts w:cs="仿宋" w:asciiTheme="minorEastAsia" w:hAnsiTheme="minorEastAsia" w:eastAsiaTheme="minorEastAsia"/>
        </w:rPr>
      </w:pPr>
    </w:p>
    <w:p w14:paraId="5E65DAB1">
      <w:pPr>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（正本/副本）</w:t>
      </w:r>
    </w:p>
    <w:p w14:paraId="4D2935D0">
      <w:pPr>
        <w:rPr>
          <w:rFonts w:cs="仿宋" w:asciiTheme="minorEastAsia" w:hAnsiTheme="minorEastAsia" w:eastAsiaTheme="minorEastAsia"/>
        </w:rPr>
      </w:pPr>
    </w:p>
    <w:p w14:paraId="43D3AEA3">
      <w:pPr>
        <w:rPr>
          <w:rFonts w:cs="仿宋" w:asciiTheme="minorEastAsia" w:hAnsiTheme="minorEastAsia" w:eastAsiaTheme="minorEastAsia"/>
        </w:rPr>
      </w:pPr>
    </w:p>
    <w:p w14:paraId="074972A2">
      <w:pPr>
        <w:rPr>
          <w:rFonts w:cs="仿宋" w:asciiTheme="minorEastAsia" w:hAnsiTheme="minorEastAsia" w:eastAsiaTheme="minorEastAsia"/>
        </w:rPr>
      </w:pPr>
    </w:p>
    <w:p w14:paraId="0C5C83AF">
      <w:pPr>
        <w:rPr>
          <w:rFonts w:cs="仿宋" w:asciiTheme="minorEastAsia" w:hAnsiTheme="minorEastAsia" w:eastAsiaTheme="minorEastAsia"/>
        </w:rPr>
      </w:pPr>
    </w:p>
    <w:p w14:paraId="324858AE">
      <w:pPr>
        <w:rPr>
          <w:rFonts w:cs="仿宋" w:asciiTheme="minorEastAsia" w:hAnsiTheme="minorEastAsia" w:eastAsiaTheme="minorEastAsia"/>
        </w:rPr>
      </w:pPr>
    </w:p>
    <w:p w14:paraId="7DD72A8C">
      <w:pPr>
        <w:rPr>
          <w:rFonts w:cs="仿宋" w:asciiTheme="minorEastAsia" w:hAnsiTheme="minorEastAsia" w:eastAsiaTheme="minorEastAsia"/>
        </w:rPr>
      </w:pPr>
    </w:p>
    <w:p w14:paraId="77DE8BE6">
      <w:pPr>
        <w:rPr>
          <w:rFonts w:cs="仿宋" w:asciiTheme="minorEastAsia" w:hAnsiTheme="minorEastAsia" w:eastAsiaTheme="minorEastAsia"/>
        </w:rPr>
      </w:pPr>
    </w:p>
    <w:p w14:paraId="69213A7A">
      <w:pPr>
        <w:rPr>
          <w:rFonts w:cs="仿宋" w:asciiTheme="minorEastAsia" w:hAnsiTheme="minorEastAsia" w:eastAsiaTheme="minorEastAsia"/>
        </w:rPr>
      </w:pPr>
    </w:p>
    <w:p w14:paraId="0199B8D0">
      <w:pPr>
        <w:rPr>
          <w:rFonts w:cs="仿宋" w:asciiTheme="minorEastAsia" w:hAnsiTheme="minorEastAsia" w:eastAsiaTheme="minorEastAsia"/>
        </w:rPr>
      </w:pPr>
    </w:p>
    <w:p w14:paraId="55356297">
      <w:pPr>
        <w:spacing w:line="480" w:lineRule="auto"/>
        <w:ind w:firstLine="993" w:firstLineChars="412"/>
        <w:rPr>
          <w:rFonts w:ascii="Times New Roman" w:hAnsi="Times New Roman"/>
          <w:b/>
          <w:bCs/>
          <w:sz w:val="24"/>
          <w:szCs w:val="24"/>
          <w:u w:val="single"/>
        </w:rPr>
      </w:pPr>
      <w:r>
        <w:rPr>
          <w:rFonts w:hint="eastAsia" w:ascii="Times New Roman" w:hAnsi="Times New Roman"/>
          <w:b/>
          <w:bCs/>
          <w:sz w:val="24"/>
          <w:szCs w:val="24"/>
        </w:rPr>
        <w:t>项目名称：</w:t>
      </w:r>
      <w:r>
        <w:rPr>
          <w:rFonts w:hint="eastAsia" w:ascii="Times New Roman" w:hAnsi="Times New Roman"/>
          <w:b/>
          <w:bCs/>
          <w:sz w:val="24"/>
          <w:szCs w:val="24"/>
          <w:u w:val="single"/>
        </w:rPr>
        <w:t xml:space="preserve">                                      </w:t>
      </w:r>
    </w:p>
    <w:p w14:paraId="698737BE">
      <w:pPr>
        <w:spacing w:line="480" w:lineRule="auto"/>
        <w:ind w:firstLine="993" w:firstLineChars="412"/>
        <w:rPr>
          <w:rFonts w:ascii="Times New Roman" w:hAnsi="Times New Roman"/>
          <w:b/>
          <w:bCs/>
          <w:sz w:val="24"/>
          <w:szCs w:val="24"/>
          <w:u w:val="single"/>
        </w:rPr>
      </w:pPr>
      <w:r>
        <w:rPr>
          <w:rFonts w:hint="eastAsia" w:ascii="Times New Roman" w:hAnsi="Times New Roman"/>
          <w:b/>
          <w:bCs/>
          <w:sz w:val="24"/>
          <w:szCs w:val="24"/>
        </w:rPr>
        <w:t>项目编号：</w:t>
      </w:r>
      <w:r>
        <w:rPr>
          <w:rFonts w:hint="eastAsia" w:ascii="Times New Roman" w:hAnsi="Times New Roman"/>
          <w:b/>
          <w:bCs/>
          <w:sz w:val="24"/>
          <w:szCs w:val="24"/>
          <w:u w:val="single"/>
        </w:rPr>
        <w:t xml:space="preserve">                                      </w:t>
      </w:r>
    </w:p>
    <w:p w14:paraId="4AD30B71">
      <w:pPr>
        <w:spacing w:line="480" w:lineRule="auto"/>
        <w:ind w:firstLine="993" w:firstLineChars="412"/>
        <w:rPr>
          <w:rFonts w:ascii="Times New Roman" w:hAnsi="Times New Roman"/>
          <w:b/>
          <w:bCs/>
          <w:sz w:val="24"/>
          <w:szCs w:val="24"/>
        </w:rPr>
      </w:pPr>
      <w:r>
        <w:rPr>
          <w:rFonts w:hint="eastAsia" w:ascii="Times New Roman" w:hAnsi="Times New Roman"/>
          <w:b/>
          <w:bCs/>
          <w:sz w:val="24"/>
          <w:szCs w:val="24"/>
        </w:rPr>
        <w:t>法定代表人或</w:t>
      </w:r>
    </w:p>
    <w:p w14:paraId="003EA569">
      <w:pPr>
        <w:spacing w:line="480" w:lineRule="auto"/>
        <w:ind w:firstLine="993" w:firstLineChars="412"/>
        <w:rPr>
          <w:rFonts w:ascii="Times New Roman" w:hAnsi="Times New Roman"/>
          <w:sz w:val="24"/>
          <w:szCs w:val="24"/>
          <w:u w:val="dotted"/>
        </w:rPr>
      </w:pPr>
      <w:r>
        <w:rPr>
          <w:rFonts w:hint="eastAsia" w:ascii="Times New Roman" w:hAnsi="Times New Roman"/>
          <w:b/>
          <w:bCs/>
          <w:sz w:val="24"/>
          <w:szCs w:val="24"/>
        </w:rPr>
        <w:t>委托代理人：</w:t>
      </w:r>
      <w:r>
        <w:rPr>
          <w:rFonts w:hint="eastAsia" w:ascii="Times New Roman" w:hAnsi="Times New Roman"/>
          <w:b/>
          <w:sz w:val="24"/>
          <w:szCs w:val="24"/>
          <w:u w:val="single"/>
        </w:rPr>
        <w:t xml:space="preserve">                                      </w:t>
      </w:r>
    </w:p>
    <w:p w14:paraId="5F1EB68E">
      <w:pPr>
        <w:spacing w:line="480" w:lineRule="auto"/>
        <w:ind w:firstLine="993" w:firstLineChars="412"/>
        <w:rPr>
          <w:rFonts w:ascii="Times New Roman" w:hAnsi="Times New Roman"/>
          <w:b/>
          <w:bCs/>
          <w:sz w:val="24"/>
          <w:szCs w:val="24"/>
          <w:u w:val="dotted"/>
        </w:rPr>
      </w:pPr>
      <w:r>
        <w:rPr>
          <w:rFonts w:hint="eastAsia" w:ascii="Times New Roman" w:hAnsi="Times New Roman"/>
          <w:b/>
          <w:bCs/>
          <w:sz w:val="24"/>
          <w:szCs w:val="24"/>
        </w:rPr>
        <w:t>投标供应商：</w:t>
      </w:r>
      <w:r>
        <w:rPr>
          <w:rFonts w:hint="eastAsia" w:ascii="Times New Roman" w:hAnsi="Times New Roman"/>
          <w:b/>
          <w:bCs/>
          <w:sz w:val="24"/>
          <w:szCs w:val="24"/>
          <w:u w:val="single"/>
        </w:rPr>
        <w:t xml:space="preserve">                                      </w:t>
      </w:r>
    </w:p>
    <w:p w14:paraId="7602DFA2">
      <w:pPr>
        <w:spacing w:line="480" w:lineRule="auto"/>
        <w:ind w:firstLine="993" w:firstLineChars="412"/>
        <w:rPr>
          <w:rFonts w:ascii="Times New Roman" w:hAnsi="Times New Roman"/>
          <w:szCs w:val="24"/>
        </w:rPr>
      </w:pPr>
      <w:r>
        <w:rPr>
          <w:rFonts w:hint="eastAsia" w:ascii="Times New Roman" w:hAnsi="Times New Roman"/>
          <w:b/>
          <w:bCs/>
          <w:sz w:val="24"/>
          <w:szCs w:val="24"/>
        </w:rPr>
        <w:t>日       期：</w:t>
      </w:r>
      <w:r>
        <w:rPr>
          <w:rFonts w:hint="eastAsia" w:ascii="Times New Roman" w:hAnsi="Times New Roman"/>
          <w:sz w:val="24"/>
          <w:szCs w:val="24"/>
          <w:u w:val="single"/>
        </w:rPr>
        <w:t xml:space="preserve">              </w:t>
      </w:r>
      <w:r>
        <w:rPr>
          <w:rFonts w:hint="eastAsia" w:ascii="Times New Roman" w:hAnsi="Times New Roman"/>
          <w:b/>
          <w:bCs/>
          <w:sz w:val="24"/>
          <w:szCs w:val="24"/>
        </w:rPr>
        <w:t>年</w:t>
      </w:r>
      <w:r>
        <w:rPr>
          <w:rFonts w:hint="eastAsia" w:ascii="Times New Roman" w:hAnsi="Times New Roman"/>
          <w:sz w:val="24"/>
          <w:szCs w:val="24"/>
          <w:u w:val="single"/>
        </w:rPr>
        <w:t xml:space="preserve">         </w:t>
      </w:r>
      <w:r>
        <w:rPr>
          <w:rFonts w:hint="eastAsia" w:ascii="Times New Roman" w:hAnsi="Times New Roman"/>
          <w:b/>
          <w:bCs/>
          <w:sz w:val="24"/>
          <w:szCs w:val="24"/>
        </w:rPr>
        <w:t>月</w:t>
      </w:r>
      <w:r>
        <w:rPr>
          <w:rFonts w:hint="eastAsia" w:ascii="Times New Roman" w:hAnsi="Times New Roman"/>
          <w:sz w:val="24"/>
          <w:szCs w:val="24"/>
          <w:u w:val="single"/>
        </w:rPr>
        <w:t xml:space="preserve">         </w:t>
      </w:r>
      <w:r>
        <w:rPr>
          <w:rFonts w:hint="eastAsia" w:ascii="Times New Roman" w:hAnsi="Times New Roman"/>
          <w:b/>
          <w:bCs/>
          <w:sz w:val="24"/>
          <w:szCs w:val="24"/>
        </w:rPr>
        <w:t>日</w:t>
      </w:r>
    </w:p>
    <w:p w14:paraId="34E2C508">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60CC22A0">
      <w:pPr>
        <w:keepNext/>
        <w:keepLines/>
        <w:spacing w:before="260" w:after="260" w:line="400" w:lineRule="exact"/>
        <w:jc w:val="center"/>
        <w:outlineLvl w:val="1"/>
        <w:rPr>
          <w:rFonts w:asciiTheme="minorEastAsia" w:hAnsiTheme="minorEastAsia" w:eastAsiaTheme="minorEastAsia"/>
          <w:b/>
          <w:bCs/>
          <w:sz w:val="28"/>
          <w:szCs w:val="32"/>
        </w:rPr>
      </w:pPr>
      <w:bookmarkStart w:id="4" w:name="_Toc110410380"/>
      <w:r>
        <w:rPr>
          <w:rFonts w:hint="eastAsia" w:asciiTheme="minorEastAsia" w:hAnsiTheme="minorEastAsia" w:eastAsiaTheme="minorEastAsia"/>
          <w:b/>
          <w:bCs/>
          <w:sz w:val="28"/>
          <w:szCs w:val="32"/>
        </w:rPr>
        <w:t>政府采购违法行为风险知悉确认书</w:t>
      </w:r>
      <w:bookmarkEnd w:id="4"/>
    </w:p>
    <w:p w14:paraId="1EB0B5F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本公司在投标前已充分知悉以下情形为参与政府采购活动时的重大风险事项，并承诺已对下述风险提示事项重点排查，做到严谨、诚信、依法依规参与政府采购活动。</w:t>
      </w:r>
    </w:p>
    <w:p w14:paraId="21FD1AE5">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一、本公司已充分知悉“隐瞒真实情况，提供虚假资料”的法定情形，相关情形包括但不限于：</w:t>
      </w:r>
    </w:p>
    <w:p w14:paraId="3351267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（一）通过转让或者租借等方式从其他单位获取资格或者资质证书投标的。</w:t>
      </w:r>
    </w:p>
    <w:p w14:paraId="7853502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（二）由其他单位或者其他单位负责人在投标供应商编制的投标文件上加盖印章或者签字的。</w:t>
      </w:r>
    </w:p>
    <w:p w14:paraId="7FC20C4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（三）项目负责人或者主要技术人员不是本单位人员的。</w:t>
      </w:r>
    </w:p>
    <w:p w14:paraId="0214054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（四）投标保证金不是从投标供应商基本账户转出的。</w:t>
      </w:r>
    </w:p>
    <w:p w14:paraId="4576E90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（五）其他隐瞒真实情况、提供虚假资料的行为。</w:t>
      </w:r>
    </w:p>
    <w:p w14:paraId="73BADC7A">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二、本公司已充分知悉“与其他采购参加人串通投标”的法定情形，相关情形包括但不限于：</w:t>
      </w:r>
    </w:p>
    <w:p w14:paraId="126A27B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（一）投标供应商之间相互约定给予未中标的供应商利益补偿。</w:t>
      </w:r>
    </w:p>
    <w:p w14:paraId="766237A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（二）不同投标供应商的法定代表人、主要经营负责人、项目投标授权代表人、项目负责人、主要技术人员为同一人、属同一单位或者在同一单位缴纳社会保险。</w:t>
      </w:r>
    </w:p>
    <w:p w14:paraId="06192E0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（三）不同投标供应商的投标文件由同一单位或者同一人编制，或者由同一人分阶段参与编制的。</w:t>
      </w:r>
    </w:p>
    <w:p w14:paraId="6EC03DA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（四）不同投标供应商的投标文件或部分投标文件相互混装。</w:t>
      </w:r>
    </w:p>
    <w:p w14:paraId="413C364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（五）不同投标供应商的投标文件内容存在非正常一致。</w:t>
      </w:r>
    </w:p>
    <w:p w14:paraId="29F8F51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（六）由同一单位工作人员为两家以上（含两家）供应商进行同一项投标活动的。</w:t>
      </w:r>
    </w:p>
    <w:p w14:paraId="746A72D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（七）不同投标供应商的投标报价呈规律性差异。</w:t>
      </w:r>
    </w:p>
    <w:p w14:paraId="593377A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（八）不同投标供应商的投标保证金从同一单位或者个人的账户转出。</w:t>
      </w:r>
    </w:p>
    <w:p w14:paraId="012940A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（九）主管部门依照法律、法规认定的其他情形。</w:t>
      </w:r>
    </w:p>
    <w:p w14:paraId="24B0F701">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三、本公司已充分知悉下列情形所对应的法律风险，并在投标前已对相关风险事项进行排查。</w:t>
      </w:r>
    </w:p>
    <w:p w14:paraId="4EA645F9">
      <w:pPr>
        <w:spacing w:line="360" w:lineRule="auto"/>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（一）对于从其他主体获取的投标资料，供应商应审慎核查，确保投标资料的真实性。</w:t>
      </w:r>
      <w:r>
        <w:rPr>
          <w:rFonts w:hint="eastAsia" w:asciiTheme="minorEastAsia" w:hAnsiTheme="minorEastAsia" w:eastAsiaTheme="minorEastAsia"/>
          <w:b/>
          <w:szCs w:val="21"/>
        </w:rPr>
        <w:t>如主管部门查实投标文件中存在虚假资料的，无论相关资料是否由第三方或本公司员工提供，均不影响主管部门对供应商存在“隐瞒真实情况，提供虚假资料”违法行为的认定。</w:t>
      </w:r>
    </w:p>
    <w:p w14:paraId="27985A9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7C05FD8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（三）对于涉及安全生产、特种作业、抢险救灾、防疫等政府采购项目，供应商实施提供虚假资料、串通投标等违法行为的，主管部门将依法从严处理。</w:t>
      </w:r>
    </w:p>
    <w:p w14:paraId="3CC835E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0AD41F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AC22FB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2A6E56A">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四、本公司已充分知悉政府采购违法、违规行为的法律后果。</w:t>
      </w:r>
      <w:r>
        <w:rPr>
          <w:rFonts w:hint="eastAsia" w:asciiTheme="minorEastAsia" w:hAnsiTheme="minorEastAsia" w:eastAsiaTheme="minorEastAsia"/>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7BF3802">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以下文字请投标供应商抄写并确认：“本公司已仔细阅读《政府采购违法行为风险知悉确认书》，充分知悉违法行为的法律后果，并承诺将严谨、诚信、依法依规参与政府采购活动”。</w:t>
      </w:r>
    </w:p>
    <w:p w14:paraId="60D0C77A">
      <w:pPr>
        <w:spacing w:line="360" w:lineRule="auto"/>
        <w:ind w:firstLine="420" w:firstLineChars="200"/>
        <w:rPr>
          <w:rFonts w:asciiTheme="minorEastAsia" w:hAnsiTheme="minorEastAsia" w:eastAsiaTheme="minorEastAsia" w:cstheme="minorBidi"/>
          <w:szCs w:val="21"/>
          <w:u w:val="single"/>
        </w:rPr>
      </w:pPr>
      <w:r>
        <w:rPr>
          <w:rFonts w:hint="eastAsia" w:asciiTheme="minorEastAsia" w:hAnsiTheme="minorEastAsia" w:eastAsiaTheme="minorEastAsia" w:cstheme="minorBidi"/>
          <w:szCs w:val="21"/>
          <w:u w:val="single"/>
        </w:rPr>
        <w:t xml:space="preserve">                                                                                         </w:t>
      </w:r>
    </w:p>
    <w:p w14:paraId="717D3A06">
      <w:pPr>
        <w:spacing w:line="360" w:lineRule="auto"/>
        <w:rPr>
          <w:rFonts w:asciiTheme="minorEastAsia" w:hAnsiTheme="minorEastAsia" w:eastAsiaTheme="minorEastAsia" w:cstheme="minorBidi"/>
          <w:szCs w:val="21"/>
          <w:u w:val="single"/>
        </w:rPr>
      </w:pPr>
      <w:r>
        <w:rPr>
          <w:rFonts w:hint="eastAsia" w:asciiTheme="minorEastAsia" w:hAnsiTheme="minorEastAsia" w:eastAsiaTheme="minorEastAsia" w:cstheme="minorBidi"/>
          <w:szCs w:val="21"/>
          <w:u w:val="single"/>
        </w:rPr>
        <w:t xml:space="preserve">                                                                                            </w:t>
      </w:r>
    </w:p>
    <w:p w14:paraId="0BD55604">
      <w:pPr>
        <w:spacing w:line="360" w:lineRule="auto"/>
        <w:rPr>
          <w:rFonts w:asciiTheme="minorEastAsia" w:hAnsiTheme="minorEastAsia" w:eastAsiaTheme="minorEastAsia" w:cstheme="minorBidi"/>
          <w:szCs w:val="21"/>
          <w:u w:val="single"/>
        </w:rPr>
      </w:pPr>
      <w:r>
        <w:rPr>
          <w:rFonts w:hint="eastAsia" w:asciiTheme="minorEastAsia" w:hAnsiTheme="minorEastAsia" w:eastAsiaTheme="minorEastAsia" w:cstheme="minorBidi"/>
          <w:szCs w:val="21"/>
          <w:u w:val="single"/>
        </w:rPr>
        <w:t xml:space="preserve">                                                                                            </w:t>
      </w:r>
    </w:p>
    <w:p w14:paraId="1916A7BA">
      <w:pPr>
        <w:spacing w:line="360" w:lineRule="auto"/>
        <w:ind w:firstLine="420" w:firstLineChars="200"/>
        <w:rPr>
          <w:rFonts w:asciiTheme="minorEastAsia" w:hAnsiTheme="minorEastAsia" w:eastAsiaTheme="minorEastAsia"/>
          <w:szCs w:val="21"/>
          <w:u w:val="single"/>
        </w:rPr>
      </w:pPr>
    </w:p>
    <w:p w14:paraId="507AEE9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负责人</w:t>
      </w:r>
      <w:r>
        <w:rPr>
          <w:rFonts w:asciiTheme="minorEastAsia" w:hAnsiTheme="minorEastAsia" w:eastAsiaTheme="minorEastAsia"/>
          <w:szCs w:val="21"/>
        </w:rPr>
        <w:t>/</w:t>
      </w:r>
      <w:r>
        <w:rPr>
          <w:rFonts w:hint="eastAsia" w:asciiTheme="minorEastAsia" w:hAnsiTheme="minorEastAsia" w:eastAsiaTheme="minorEastAsia"/>
          <w:szCs w:val="21"/>
        </w:rPr>
        <w:t>投标授权代表签名：</w:t>
      </w:r>
    </w:p>
    <w:p w14:paraId="33F67F2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知悉人（公章）：</w:t>
      </w:r>
    </w:p>
    <w:p w14:paraId="3CA3B02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日期：</w:t>
      </w:r>
    </w:p>
    <w:p w14:paraId="5C270765">
      <w:pPr>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评审指引表</w:t>
      </w:r>
    </w:p>
    <w:p w14:paraId="77FB802F">
      <w:pPr>
        <w:ind w:left="424" w:leftChars="202" w:firstLine="424" w:firstLineChars="202"/>
        <w:rPr>
          <w:rFonts w:cs="仿宋" w:asciiTheme="minorEastAsia" w:hAnsiTheme="minorEastAsia" w:eastAsiaTheme="minorEastAsia"/>
        </w:rPr>
      </w:pPr>
    </w:p>
    <w:p w14:paraId="6F22AF0F">
      <w:pPr>
        <w:tabs>
          <w:tab w:val="left" w:pos="8306"/>
        </w:tabs>
        <w:spacing w:line="360" w:lineRule="auto"/>
        <w:ind w:right="-57" w:rightChars="-27" w:firstLine="425"/>
        <w:rPr>
          <w:rFonts w:cs="仿宋" w:asciiTheme="minorEastAsia" w:hAnsiTheme="minorEastAsia" w:eastAsiaTheme="minorEastAsia"/>
        </w:rPr>
      </w:pPr>
      <w:r>
        <w:rPr>
          <w:rFonts w:hint="eastAsia" w:cs="仿宋" w:asciiTheme="minorEastAsia" w:hAnsiTheme="minorEastAsia" w:eastAsiaTheme="minorEastAsia"/>
        </w:rPr>
        <w:t>为方便参与该项目的评委专家的评审，快速找到评审事项与该项目投标文件所对应的位置，请投标供应商参照下表格式，编制本项目评审指引表。</w:t>
      </w:r>
    </w:p>
    <w:p w14:paraId="482656AA">
      <w:pPr>
        <w:tabs>
          <w:tab w:val="center" w:pos="4153"/>
          <w:tab w:val="right" w:pos="8306"/>
        </w:tabs>
        <w:snapToGrid w:val="0"/>
        <w:jc w:val="left"/>
        <w:rPr>
          <w:sz w:val="18"/>
          <w:szCs w:val="18"/>
        </w:rPr>
      </w:pPr>
    </w:p>
    <w:tbl>
      <w:tblPr>
        <w:tblStyle w:val="21"/>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1516"/>
        <w:gridCol w:w="1134"/>
      </w:tblGrid>
      <w:tr w14:paraId="7A14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61" w:type="dxa"/>
            <w:gridSpan w:val="4"/>
            <w:vAlign w:val="center"/>
          </w:tcPr>
          <w:p w14:paraId="52C49F6F">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一、综合评分指引（评分内容见“评审信息”）</w:t>
            </w:r>
          </w:p>
        </w:tc>
      </w:tr>
      <w:tr w14:paraId="1F38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5B068FD">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0DB43843">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1516" w:type="dxa"/>
            <w:vAlign w:val="center"/>
          </w:tcPr>
          <w:p w14:paraId="5376B346">
            <w:pPr>
              <w:spacing w:line="360" w:lineRule="exact"/>
              <w:jc w:val="center"/>
              <w:rPr>
                <w:rFonts w:ascii="宋体" w:hAnsi="宋体"/>
                <w:szCs w:val="21"/>
              </w:rPr>
            </w:pPr>
            <w:r>
              <w:rPr>
                <w:rFonts w:hint="eastAsia" w:ascii="宋体" w:hAnsi="宋体"/>
                <w:szCs w:val="21"/>
              </w:rPr>
              <w:t>证明文件起止页码</w:t>
            </w:r>
          </w:p>
        </w:tc>
        <w:tc>
          <w:tcPr>
            <w:tcW w:w="1134" w:type="dxa"/>
            <w:vAlign w:val="center"/>
          </w:tcPr>
          <w:p w14:paraId="542D345B">
            <w:pPr>
              <w:spacing w:line="360" w:lineRule="exact"/>
              <w:jc w:val="center"/>
              <w:rPr>
                <w:rFonts w:ascii="宋体" w:hAnsi="宋体"/>
                <w:szCs w:val="21"/>
              </w:rPr>
            </w:pPr>
            <w:r>
              <w:rPr>
                <w:rFonts w:hint="eastAsia" w:ascii="宋体" w:hAnsi="宋体"/>
                <w:szCs w:val="21"/>
              </w:rPr>
              <w:t>备注</w:t>
            </w:r>
          </w:p>
        </w:tc>
      </w:tr>
      <w:tr w14:paraId="5DF3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1E8196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0F6BA478">
            <w:pPr>
              <w:rPr>
                <w:rFonts w:asciiTheme="minorEastAsia" w:hAnsiTheme="minorEastAsia" w:eastAsiaTheme="minorEastAsia"/>
                <w:szCs w:val="24"/>
              </w:rPr>
            </w:pPr>
            <w:r>
              <w:rPr>
                <w:rFonts w:hint="eastAsia" w:asciiTheme="minorEastAsia" w:hAnsiTheme="minorEastAsia" w:eastAsiaTheme="minorEastAsia"/>
                <w:szCs w:val="21"/>
              </w:rPr>
              <w:t>小型企业、微型企业、监狱企业、残疾人福利性单位声明、节能产品、环境标志产品等 ，详见评审信息政府采购优惠政策。</w:t>
            </w:r>
          </w:p>
        </w:tc>
        <w:tc>
          <w:tcPr>
            <w:tcW w:w="1516" w:type="dxa"/>
            <w:vAlign w:val="center"/>
          </w:tcPr>
          <w:p w14:paraId="21EF3995">
            <w:pPr>
              <w:spacing w:line="360" w:lineRule="exact"/>
              <w:jc w:val="center"/>
              <w:rPr>
                <w:rFonts w:ascii="宋体" w:hAnsi="宋体"/>
                <w:b/>
                <w:szCs w:val="21"/>
              </w:rPr>
            </w:pPr>
          </w:p>
        </w:tc>
        <w:tc>
          <w:tcPr>
            <w:tcW w:w="1134" w:type="dxa"/>
            <w:vAlign w:val="center"/>
          </w:tcPr>
          <w:p w14:paraId="39F1D14B">
            <w:pPr>
              <w:spacing w:line="360" w:lineRule="exact"/>
              <w:jc w:val="center"/>
              <w:rPr>
                <w:rFonts w:ascii="宋体" w:hAnsi="宋体"/>
                <w:b/>
                <w:szCs w:val="21"/>
              </w:rPr>
            </w:pPr>
          </w:p>
        </w:tc>
      </w:tr>
      <w:tr w14:paraId="2D76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76D5F62A">
            <w:pPr>
              <w:spacing w:line="360" w:lineRule="exact"/>
              <w:jc w:val="center"/>
              <w:rPr>
                <w:rFonts w:ascii="宋体" w:hAnsi="宋体"/>
                <w:szCs w:val="21"/>
              </w:rPr>
            </w:pPr>
            <w:r>
              <w:rPr>
                <w:rFonts w:hint="eastAsia" w:ascii="宋体" w:hAnsi="宋体"/>
                <w:szCs w:val="21"/>
              </w:rPr>
              <w:t>技术部分</w:t>
            </w:r>
          </w:p>
        </w:tc>
        <w:tc>
          <w:tcPr>
            <w:tcW w:w="4854" w:type="dxa"/>
          </w:tcPr>
          <w:p w14:paraId="572E9D43">
            <w:pPr>
              <w:spacing w:line="360" w:lineRule="exact"/>
              <w:jc w:val="center"/>
              <w:rPr>
                <w:rFonts w:ascii="宋体" w:hAnsi="宋体"/>
                <w:szCs w:val="21"/>
              </w:rPr>
            </w:pPr>
            <w:r>
              <w:rPr>
                <w:rFonts w:hint="eastAsia" w:ascii="宋体" w:hAnsi="宋体"/>
                <w:szCs w:val="21"/>
              </w:rPr>
              <w:t>1.……</w:t>
            </w:r>
          </w:p>
        </w:tc>
        <w:tc>
          <w:tcPr>
            <w:tcW w:w="1516" w:type="dxa"/>
            <w:vAlign w:val="center"/>
          </w:tcPr>
          <w:p w14:paraId="02309F06">
            <w:pPr>
              <w:spacing w:line="360" w:lineRule="exact"/>
              <w:jc w:val="center"/>
              <w:rPr>
                <w:rFonts w:ascii="宋体" w:hAnsi="宋体"/>
                <w:b/>
                <w:szCs w:val="21"/>
              </w:rPr>
            </w:pPr>
          </w:p>
        </w:tc>
        <w:tc>
          <w:tcPr>
            <w:tcW w:w="1134" w:type="dxa"/>
            <w:vAlign w:val="center"/>
          </w:tcPr>
          <w:p w14:paraId="4755DAC6">
            <w:pPr>
              <w:spacing w:line="360" w:lineRule="exact"/>
              <w:jc w:val="center"/>
              <w:rPr>
                <w:rFonts w:ascii="宋体" w:hAnsi="宋体"/>
                <w:b/>
                <w:szCs w:val="21"/>
              </w:rPr>
            </w:pPr>
          </w:p>
        </w:tc>
      </w:tr>
      <w:tr w14:paraId="6E39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71E76A4A">
            <w:pPr>
              <w:spacing w:line="360" w:lineRule="exact"/>
              <w:jc w:val="center"/>
              <w:rPr>
                <w:rFonts w:ascii="宋体" w:hAnsi="宋体"/>
                <w:szCs w:val="21"/>
              </w:rPr>
            </w:pPr>
          </w:p>
        </w:tc>
        <w:tc>
          <w:tcPr>
            <w:tcW w:w="4854" w:type="dxa"/>
          </w:tcPr>
          <w:p w14:paraId="76DEB2C4">
            <w:pPr>
              <w:spacing w:line="360" w:lineRule="exact"/>
              <w:jc w:val="center"/>
              <w:rPr>
                <w:rFonts w:ascii="宋体" w:hAnsi="宋体"/>
                <w:szCs w:val="21"/>
              </w:rPr>
            </w:pPr>
            <w:r>
              <w:rPr>
                <w:rFonts w:hint="eastAsia" w:ascii="宋体" w:hAnsi="宋体"/>
                <w:szCs w:val="21"/>
              </w:rPr>
              <w:t>2.……</w:t>
            </w:r>
          </w:p>
        </w:tc>
        <w:tc>
          <w:tcPr>
            <w:tcW w:w="1516" w:type="dxa"/>
            <w:vAlign w:val="center"/>
          </w:tcPr>
          <w:p w14:paraId="52B97F87">
            <w:pPr>
              <w:spacing w:line="360" w:lineRule="exact"/>
              <w:jc w:val="center"/>
              <w:rPr>
                <w:rFonts w:ascii="宋体" w:hAnsi="宋体"/>
                <w:b/>
                <w:szCs w:val="21"/>
              </w:rPr>
            </w:pPr>
          </w:p>
        </w:tc>
        <w:tc>
          <w:tcPr>
            <w:tcW w:w="1134" w:type="dxa"/>
            <w:vAlign w:val="center"/>
          </w:tcPr>
          <w:p w14:paraId="2A60277D">
            <w:pPr>
              <w:spacing w:line="360" w:lineRule="exact"/>
              <w:jc w:val="center"/>
              <w:rPr>
                <w:rFonts w:ascii="宋体" w:hAnsi="宋体"/>
                <w:b/>
                <w:szCs w:val="21"/>
              </w:rPr>
            </w:pPr>
          </w:p>
        </w:tc>
      </w:tr>
      <w:tr w14:paraId="4B8E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84A3577">
            <w:pPr>
              <w:spacing w:line="360" w:lineRule="exact"/>
              <w:jc w:val="center"/>
              <w:rPr>
                <w:rFonts w:ascii="宋体" w:hAnsi="宋体"/>
                <w:szCs w:val="21"/>
              </w:rPr>
            </w:pPr>
          </w:p>
        </w:tc>
        <w:tc>
          <w:tcPr>
            <w:tcW w:w="4854" w:type="dxa"/>
          </w:tcPr>
          <w:p w14:paraId="2B5BD723">
            <w:pPr>
              <w:spacing w:line="360" w:lineRule="exact"/>
              <w:jc w:val="center"/>
              <w:rPr>
                <w:rFonts w:ascii="宋体" w:hAnsi="宋体"/>
                <w:szCs w:val="21"/>
              </w:rPr>
            </w:pPr>
            <w:r>
              <w:rPr>
                <w:rFonts w:hint="eastAsia" w:ascii="宋体" w:hAnsi="宋体"/>
                <w:szCs w:val="21"/>
              </w:rPr>
              <w:t>……</w:t>
            </w:r>
          </w:p>
        </w:tc>
        <w:tc>
          <w:tcPr>
            <w:tcW w:w="1516" w:type="dxa"/>
            <w:vAlign w:val="center"/>
          </w:tcPr>
          <w:p w14:paraId="6F5DE650">
            <w:pPr>
              <w:spacing w:line="360" w:lineRule="exact"/>
              <w:jc w:val="center"/>
              <w:rPr>
                <w:rFonts w:ascii="宋体" w:hAnsi="宋体"/>
                <w:b/>
                <w:szCs w:val="21"/>
              </w:rPr>
            </w:pPr>
          </w:p>
        </w:tc>
        <w:tc>
          <w:tcPr>
            <w:tcW w:w="1134" w:type="dxa"/>
            <w:vAlign w:val="center"/>
          </w:tcPr>
          <w:p w14:paraId="6DA4F5AD">
            <w:pPr>
              <w:spacing w:line="360" w:lineRule="exact"/>
              <w:jc w:val="center"/>
              <w:rPr>
                <w:rFonts w:ascii="宋体" w:hAnsi="宋体"/>
                <w:b/>
                <w:szCs w:val="21"/>
              </w:rPr>
            </w:pPr>
          </w:p>
        </w:tc>
      </w:tr>
      <w:tr w14:paraId="78BA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3A736147">
            <w:pPr>
              <w:spacing w:line="360" w:lineRule="exact"/>
              <w:jc w:val="center"/>
              <w:rPr>
                <w:rFonts w:ascii="宋体" w:hAnsi="宋体"/>
                <w:szCs w:val="21"/>
              </w:rPr>
            </w:pPr>
            <w:r>
              <w:rPr>
                <w:rFonts w:hint="eastAsia" w:ascii="宋体" w:hAnsi="宋体"/>
                <w:szCs w:val="21"/>
              </w:rPr>
              <w:t>商务部分</w:t>
            </w:r>
          </w:p>
        </w:tc>
        <w:tc>
          <w:tcPr>
            <w:tcW w:w="4854" w:type="dxa"/>
          </w:tcPr>
          <w:p w14:paraId="21446A8E">
            <w:pPr>
              <w:spacing w:line="360" w:lineRule="exact"/>
              <w:jc w:val="center"/>
              <w:rPr>
                <w:rFonts w:ascii="宋体" w:hAnsi="宋体"/>
                <w:szCs w:val="21"/>
              </w:rPr>
            </w:pPr>
            <w:r>
              <w:rPr>
                <w:rFonts w:hint="eastAsia" w:ascii="宋体" w:hAnsi="宋体"/>
                <w:szCs w:val="21"/>
              </w:rPr>
              <w:t>1.……</w:t>
            </w:r>
          </w:p>
        </w:tc>
        <w:tc>
          <w:tcPr>
            <w:tcW w:w="1516" w:type="dxa"/>
            <w:vAlign w:val="center"/>
          </w:tcPr>
          <w:p w14:paraId="45A5B831">
            <w:pPr>
              <w:spacing w:line="360" w:lineRule="exact"/>
              <w:jc w:val="center"/>
              <w:rPr>
                <w:rFonts w:ascii="宋体" w:hAnsi="宋体"/>
                <w:b/>
                <w:szCs w:val="21"/>
              </w:rPr>
            </w:pPr>
          </w:p>
        </w:tc>
        <w:tc>
          <w:tcPr>
            <w:tcW w:w="1134" w:type="dxa"/>
            <w:vAlign w:val="center"/>
          </w:tcPr>
          <w:p w14:paraId="3E69CC00">
            <w:pPr>
              <w:spacing w:line="360" w:lineRule="exact"/>
              <w:jc w:val="center"/>
              <w:rPr>
                <w:rFonts w:ascii="宋体" w:hAnsi="宋体"/>
                <w:b/>
                <w:szCs w:val="21"/>
              </w:rPr>
            </w:pPr>
          </w:p>
        </w:tc>
      </w:tr>
      <w:tr w14:paraId="205E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C3DA208">
            <w:pPr>
              <w:spacing w:line="360" w:lineRule="exact"/>
              <w:jc w:val="center"/>
              <w:rPr>
                <w:rFonts w:ascii="宋体" w:hAnsi="宋体"/>
                <w:szCs w:val="21"/>
              </w:rPr>
            </w:pPr>
          </w:p>
        </w:tc>
        <w:tc>
          <w:tcPr>
            <w:tcW w:w="4854" w:type="dxa"/>
          </w:tcPr>
          <w:p w14:paraId="672A7046">
            <w:pPr>
              <w:spacing w:line="360" w:lineRule="exact"/>
              <w:jc w:val="center"/>
              <w:rPr>
                <w:rFonts w:ascii="宋体" w:hAnsi="宋体"/>
                <w:szCs w:val="21"/>
              </w:rPr>
            </w:pPr>
            <w:r>
              <w:rPr>
                <w:rFonts w:hint="eastAsia" w:ascii="宋体" w:hAnsi="宋体"/>
                <w:szCs w:val="21"/>
              </w:rPr>
              <w:t>2.……</w:t>
            </w:r>
          </w:p>
        </w:tc>
        <w:tc>
          <w:tcPr>
            <w:tcW w:w="1516" w:type="dxa"/>
            <w:vAlign w:val="center"/>
          </w:tcPr>
          <w:p w14:paraId="7427C1C1">
            <w:pPr>
              <w:spacing w:line="360" w:lineRule="exact"/>
              <w:jc w:val="center"/>
              <w:rPr>
                <w:rFonts w:ascii="宋体" w:hAnsi="宋体"/>
                <w:b/>
                <w:szCs w:val="21"/>
              </w:rPr>
            </w:pPr>
          </w:p>
        </w:tc>
        <w:tc>
          <w:tcPr>
            <w:tcW w:w="1134" w:type="dxa"/>
            <w:vAlign w:val="center"/>
          </w:tcPr>
          <w:p w14:paraId="67253B4C">
            <w:pPr>
              <w:spacing w:line="360" w:lineRule="exact"/>
              <w:jc w:val="center"/>
              <w:rPr>
                <w:rFonts w:ascii="宋体" w:hAnsi="宋体"/>
                <w:b/>
                <w:szCs w:val="21"/>
              </w:rPr>
            </w:pPr>
          </w:p>
        </w:tc>
      </w:tr>
      <w:tr w14:paraId="01C6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CE4CBCB">
            <w:pPr>
              <w:spacing w:line="360" w:lineRule="exact"/>
              <w:jc w:val="center"/>
              <w:rPr>
                <w:rFonts w:ascii="宋体" w:hAnsi="宋体"/>
                <w:szCs w:val="21"/>
              </w:rPr>
            </w:pPr>
          </w:p>
        </w:tc>
        <w:tc>
          <w:tcPr>
            <w:tcW w:w="4854" w:type="dxa"/>
          </w:tcPr>
          <w:p w14:paraId="518AF4AB">
            <w:pPr>
              <w:spacing w:line="360" w:lineRule="exact"/>
              <w:jc w:val="center"/>
              <w:rPr>
                <w:rFonts w:ascii="宋体" w:hAnsi="宋体"/>
                <w:szCs w:val="21"/>
              </w:rPr>
            </w:pPr>
            <w:r>
              <w:rPr>
                <w:rFonts w:hint="eastAsia" w:ascii="宋体" w:hAnsi="宋体"/>
                <w:szCs w:val="21"/>
              </w:rPr>
              <w:t>……</w:t>
            </w:r>
          </w:p>
        </w:tc>
        <w:tc>
          <w:tcPr>
            <w:tcW w:w="1516" w:type="dxa"/>
            <w:vAlign w:val="center"/>
          </w:tcPr>
          <w:p w14:paraId="60A5CF97">
            <w:pPr>
              <w:spacing w:line="360" w:lineRule="exact"/>
              <w:jc w:val="center"/>
              <w:rPr>
                <w:rFonts w:ascii="宋体" w:hAnsi="宋体"/>
                <w:b/>
                <w:szCs w:val="21"/>
              </w:rPr>
            </w:pPr>
          </w:p>
        </w:tc>
        <w:tc>
          <w:tcPr>
            <w:tcW w:w="1134" w:type="dxa"/>
            <w:vAlign w:val="center"/>
          </w:tcPr>
          <w:p w14:paraId="793E9CCD">
            <w:pPr>
              <w:spacing w:line="360" w:lineRule="exact"/>
              <w:jc w:val="center"/>
              <w:rPr>
                <w:rFonts w:ascii="宋体" w:hAnsi="宋体"/>
                <w:b/>
                <w:szCs w:val="21"/>
              </w:rPr>
            </w:pPr>
          </w:p>
        </w:tc>
      </w:tr>
      <w:tr w14:paraId="6F6A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61" w:type="dxa"/>
            <w:gridSpan w:val="4"/>
            <w:vAlign w:val="center"/>
          </w:tcPr>
          <w:p w14:paraId="6633DBF0">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二、其他评审指引</w:t>
            </w:r>
          </w:p>
        </w:tc>
      </w:tr>
      <w:tr w14:paraId="2E16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3DF3887C">
            <w:pPr>
              <w:spacing w:line="360" w:lineRule="exact"/>
              <w:jc w:val="center"/>
              <w:rPr>
                <w:rFonts w:ascii="宋体" w:hAnsi="宋体"/>
                <w:szCs w:val="21"/>
              </w:rPr>
            </w:pPr>
            <w:r>
              <w:rPr>
                <w:rFonts w:hint="eastAsia" w:ascii="宋体" w:hAnsi="宋体"/>
                <w:szCs w:val="21"/>
              </w:rPr>
              <w:t>其他资料</w:t>
            </w:r>
          </w:p>
        </w:tc>
        <w:tc>
          <w:tcPr>
            <w:tcW w:w="4854" w:type="dxa"/>
            <w:vAlign w:val="center"/>
          </w:tcPr>
          <w:p w14:paraId="2702ED48">
            <w:pPr>
              <w:rPr>
                <w:rFonts w:asciiTheme="minorEastAsia" w:hAnsiTheme="minorEastAsia" w:eastAsiaTheme="minorEastAsia"/>
                <w:szCs w:val="24"/>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1516" w:type="dxa"/>
            <w:vAlign w:val="center"/>
          </w:tcPr>
          <w:p w14:paraId="1BD4EF23">
            <w:pPr>
              <w:spacing w:line="360" w:lineRule="exact"/>
              <w:jc w:val="center"/>
              <w:rPr>
                <w:rFonts w:ascii="宋体" w:hAnsi="宋体"/>
                <w:b/>
                <w:szCs w:val="21"/>
              </w:rPr>
            </w:pPr>
          </w:p>
        </w:tc>
        <w:tc>
          <w:tcPr>
            <w:tcW w:w="1134" w:type="dxa"/>
            <w:vAlign w:val="center"/>
          </w:tcPr>
          <w:p w14:paraId="65462750">
            <w:pPr>
              <w:spacing w:line="360" w:lineRule="exact"/>
              <w:jc w:val="center"/>
              <w:rPr>
                <w:rFonts w:ascii="宋体" w:hAnsi="宋体"/>
                <w:b/>
                <w:szCs w:val="21"/>
              </w:rPr>
            </w:pPr>
          </w:p>
        </w:tc>
      </w:tr>
    </w:tbl>
    <w:p w14:paraId="6FE44425">
      <w:pPr>
        <w:tabs>
          <w:tab w:val="center" w:pos="4153"/>
          <w:tab w:val="right" w:pos="8306"/>
        </w:tabs>
        <w:snapToGrid w:val="0"/>
        <w:jc w:val="left"/>
        <w:rPr>
          <w:sz w:val="18"/>
          <w:szCs w:val="18"/>
        </w:rPr>
      </w:pPr>
    </w:p>
    <w:p w14:paraId="1A231132">
      <w:pPr>
        <w:ind w:left="424" w:leftChars="202" w:right="792" w:rightChars="377" w:firstLine="444" w:firstLineChars="202"/>
        <w:rPr>
          <w:rFonts w:cs="仿宋" w:asciiTheme="minorEastAsia" w:hAnsiTheme="minorEastAsia" w:eastAsiaTheme="minorEastAsia"/>
          <w:sz w:val="22"/>
        </w:rPr>
      </w:pPr>
    </w:p>
    <w:p w14:paraId="6DEF9FC4">
      <w:pPr>
        <w:spacing w:line="360" w:lineRule="auto"/>
        <w:ind w:firstLine="424" w:firstLineChars="193"/>
        <w:rPr>
          <w:rFonts w:cs="仿宋" w:asciiTheme="minorEastAsia" w:hAnsiTheme="minorEastAsia" w:eastAsiaTheme="minorEastAsia"/>
        </w:rPr>
      </w:pPr>
      <w:r>
        <w:rPr>
          <w:rFonts w:hint="eastAsia" w:cs="仿宋" w:asciiTheme="minorEastAsia" w:hAnsiTheme="minorEastAsia" w:eastAsiaTheme="minorEastAsia"/>
          <w:sz w:val="22"/>
          <w:szCs w:val="24"/>
        </w:rPr>
        <w:t>注：请投标供应商按照征集文件规定的审查和评分内容，自上而下的顺序填写本表。因项目次序混乱而影响评标结果者，投标供应商自负其责。</w:t>
      </w:r>
    </w:p>
    <w:p w14:paraId="28401A24">
      <w:pPr>
        <w:widowControl/>
        <w:jc w:val="left"/>
        <w:rPr>
          <w:rFonts w:cs="仿宋" w:asciiTheme="minorEastAsia" w:hAnsiTheme="minorEastAsia" w:eastAsiaTheme="minorEastAsia"/>
          <w:b/>
          <w:sz w:val="32"/>
          <w:szCs w:val="36"/>
        </w:rPr>
      </w:pPr>
      <w:r>
        <w:rPr>
          <w:rFonts w:cs="仿宋" w:asciiTheme="minorEastAsia" w:hAnsiTheme="minorEastAsia" w:eastAsiaTheme="minorEastAsia"/>
          <w:b/>
          <w:sz w:val="32"/>
          <w:szCs w:val="36"/>
        </w:rPr>
        <w:br w:type="page"/>
      </w:r>
    </w:p>
    <w:p w14:paraId="17C204A7">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格式1  声 明 函</w:t>
      </w:r>
    </w:p>
    <w:p w14:paraId="3F065338">
      <w:pPr>
        <w:jc w:val="center"/>
        <w:rPr>
          <w:rFonts w:cs="仿宋" w:asciiTheme="minorEastAsia" w:hAnsiTheme="minorEastAsia" w:eastAsiaTheme="minorEastAsia"/>
          <w:b/>
          <w:sz w:val="36"/>
          <w:szCs w:val="36"/>
        </w:rPr>
      </w:pPr>
    </w:p>
    <w:p w14:paraId="451316E1">
      <w:pPr>
        <w:adjustRightInd w:val="0"/>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深圳市中正招标有限公司：</w:t>
      </w:r>
    </w:p>
    <w:p w14:paraId="66EBF0A2">
      <w:pPr>
        <w:adjustRightInd w:val="0"/>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 xml:space="preserve">    我方收到贵司组织的 （</w:t>
      </w:r>
      <w:r>
        <w:rPr>
          <w:rFonts w:hint="eastAsia" w:cs="仿宋" w:asciiTheme="minorEastAsia" w:hAnsiTheme="minorEastAsia" w:eastAsiaTheme="minorEastAsia"/>
          <w:u w:val="single"/>
        </w:rPr>
        <w:t xml:space="preserve">项目名称：    </w:t>
      </w:r>
      <w:r>
        <w:rPr>
          <w:rFonts w:hint="eastAsia" w:cs="仿宋" w:asciiTheme="minorEastAsia" w:hAnsiTheme="minorEastAsia" w:eastAsiaTheme="minorEastAsia"/>
        </w:rPr>
        <w:t>）征集文件，经详细研究，我方决定参加该项目 （</w:t>
      </w:r>
      <w:r>
        <w:rPr>
          <w:rFonts w:hint="eastAsia" w:cs="仿宋" w:asciiTheme="minorEastAsia" w:hAnsiTheme="minorEastAsia" w:eastAsiaTheme="minorEastAsia"/>
          <w:u w:val="single"/>
        </w:rPr>
        <w:t xml:space="preserve">项目编号：    </w:t>
      </w:r>
      <w:r>
        <w:rPr>
          <w:rFonts w:hint="eastAsia" w:cs="仿宋" w:asciiTheme="minorEastAsia" w:hAnsiTheme="minorEastAsia" w:eastAsiaTheme="minorEastAsia"/>
        </w:rPr>
        <w:t>）采购的有关活动并投标。为此，我方谨郑重声明以下诸点，并对之负法律责任。</w:t>
      </w:r>
    </w:p>
    <w:p w14:paraId="4EB455BC">
      <w:pPr>
        <w:spacing w:line="360" w:lineRule="auto"/>
        <w:ind w:firstLine="424" w:firstLineChars="202"/>
        <w:jc w:val="left"/>
        <w:rPr>
          <w:rFonts w:cs="仿宋" w:asciiTheme="minorEastAsia" w:hAnsiTheme="minorEastAsia" w:eastAsiaTheme="minorEastAsia"/>
        </w:rPr>
      </w:pPr>
      <w:r>
        <w:rPr>
          <w:rFonts w:hint="eastAsia" w:cs="仿宋" w:asciiTheme="minorEastAsia" w:hAnsiTheme="minorEastAsia" w:eastAsiaTheme="minorEastAsia"/>
        </w:rPr>
        <w:t>1．我方愿以《开标一览表》中填写的投标总价并按照征集文件中的一切要求，承担上述项目的全部工作。</w:t>
      </w:r>
    </w:p>
    <w:p w14:paraId="6DB37A82">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2．我方提交的投标文件为：投标书正本两份，副本四份，</w:t>
      </w:r>
      <w:r>
        <w:rPr>
          <w:rFonts w:hint="eastAsia" w:cs="仿宋" w:asciiTheme="minorEastAsia" w:hAnsiTheme="minorEastAsia"/>
        </w:rPr>
        <w:t>电子备份光盘（或U盘）一份（含投标文件正本盖章扫描件及投标文件WORD文档）。</w:t>
      </w:r>
    </w:p>
    <w:p w14:paraId="6957461F">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3．如果我方投标文件被接受，我方将履行征集文件中规定的每一项要求，按期、按质、按量完成任务。</w:t>
      </w:r>
    </w:p>
    <w:p w14:paraId="5168E53C">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4．我方愿意提供采购代理机构在征集文件中要求的所有资料，且所递交的投标文件在投标有效期（即90天）内有效，在此期间内我方的投标有可能中标，我方将受此约束。如果在投标有效期内撤销投标文件，贵司有权无条件不退还本司已提交的项目保证金。</w:t>
      </w:r>
    </w:p>
    <w:p w14:paraId="068D5180">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5．我方理解，最低报价不是中标的唯一条件。我方认为贵司有选择或拒绝任何投标者中标的权利。</w:t>
      </w:r>
    </w:p>
    <w:p w14:paraId="0062D674">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6．我方愿按《中华人民共和国民法典》履行自己的全部责任。</w:t>
      </w:r>
    </w:p>
    <w:p w14:paraId="5D850FA4">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7．我方同意征集文件之规定，遵守有关采购的各项规定。</w:t>
      </w:r>
    </w:p>
    <w:p w14:paraId="1C1E05BC">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 xml:space="preserve">8. </w:t>
      </w:r>
      <w:r>
        <w:rPr>
          <w:rFonts w:hint="eastAsia" w:asciiTheme="minorEastAsia" w:hAnsiTheme="minorEastAsia" w:eastAsiaTheme="minorEastAsia"/>
        </w:rPr>
        <w:t>我单位承诺在收到代理服务费缴费通知后7个工作日内领取中标（成交）通知书，逾期将视为我单位放弃中标（成交）资格</w:t>
      </w:r>
      <w:r>
        <w:rPr>
          <w:rFonts w:hint="eastAsia" w:cs="仿宋" w:asciiTheme="minorEastAsia" w:hAnsiTheme="minorEastAsia" w:eastAsiaTheme="minorEastAsia"/>
        </w:rPr>
        <w:t>。</w:t>
      </w:r>
    </w:p>
    <w:p w14:paraId="14FD1DEC">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9．所有有关本标书的函电，请按下列地址联系：</w:t>
      </w:r>
    </w:p>
    <w:p w14:paraId="3E460386">
      <w:pPr>
        <w:adjustRightInd w:val="0"/>
        <w:snapToGrid w:val="0"/>
        <w:spacing w:line="360" w:lineRule="auto"/>
        <w:ind w:firstLine="600"/>
        <w:rPr>
          <w:rFonts w:cs="仿宋" w:asciiTheme="minorEastAsia" w:hAnsiTheme="minorEastAsia" w:eastAsiaTheme="minorEastAsia"/>
        </w:rPr>
      </w:pPr>
    </w:p>
    <w:p w14:paraId="41C96006">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单    位： （盖章）</w:t>
      </w:r>
    </w:p>
    <w:p w14:paraId="172DEF76">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地    址：</w:t>
      </w:r>
    </w:p>
    <w:p w14:paraId="22C6A194">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电    话：</w:t>
      </w:r>
    </w:p>
    <w:p w14:paraId="2DC24E82">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联 系 人：</w:t>
      </w:r>
    </w:p>
    <w:p w14:paraId="7DCD9F47">
      <w:pPr>
        <w:jc w:val="right"/>
        <w:rPr>
          <w:rFonts w:cs="仿宋" w:asciiTheme="minorEastAsia" w:hAnsiTheme="minorEastAsia" w:eastAsiaTheme="minorEastAsia"/>
        </w:rPr>
      </w:pPr>
      <w:r>
        <w:rPr>
          <w:rFonts w:hint="eastAsia" w:cs="仿宋" w:asciiTheme="minorEastAsia" w:hAnsiTheme="minorEastAsia" w:eastAsiaTheme="minorEastAsia"/>
        </w:rPr>
        <w:t>年    月    日</w:t>
      </w:r>
    </w:p>
    <w:p w14:paraId="6A3F1319">
      <w:pPr>
        <w:jc w:val="left"/>
        <w:rPr>
          <w:rFonts w:cs="仿宋" w:asciiTheme="minorEastAsia" w:hAnsiTheme="minorEastAsia" w:eastAsiaTheme="minorEastAsia"/>
        </w:rPr>
      </w:pPr>
    </w:p>
    <w:p w14:paraId="3F2E913C">
      <w:pPr>
        <w:widowControl/>
        <w:jc w:val="left"/>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br w:type="page"/>
      </w:r>
    </w:p>
    <w:p w14:paraId="135D1D3E">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格式2  投标供应商资格证明文件</w:t>
      </w:r>
    </w:p>
    <w:p w14:paraId="486F5D90">
      <w:pPr>
        <w:ind w:firstLine="1274" w:firstLineChars="607"/>
        <w:rPr>
          <w:rFonts w:cs="仿宋" w:asciiTheme="minorEastAsia" w:hAnsiTheme="minorEastAsia" w:eastAsiaTheme="minorEastAsia"/>
        </w:rPr>
      </w:pPr>
    </w:p>
    <w:p w14:paraId="565EF97C">
      <w:pPr>
        <w:spacing w:line="360" w:lineRule="auto"/>
        <w:ind w:firstLine="1279" w:firstLineChars="455"/>
        <w:rPr>
          <w:rFonts w:cs="仿宋" w:asciiTheme="minorEastAsia" w:hAnsiTheme="minorEastAsia" w:eastAsiaTheme="minorEastAsia"/>
          <w:b/>
          <w:sz w:val="28"/>
        </w:rPr>
      </w:pPr>
    </w:p>
    <w:p w14:paraId="3C9A6E0A">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1、</w:t>
      </w:r>
      <w:r>
        <w:rPr>
          <w:rFonts w:hint="eastAsia" w:cs="仿宋" w:asciiTheme="minorEastAsia" w:hAnsiTheme="minorEastAsia" w:eastAsiaTheme="minorEastAsia"/>
          <w:bCs/>
        </w:rPr>
        <w:t>营业执照或法人证书等证明文件【扫描件或复印件】</w:t>
      </w:r>
    </w:p>
    <w:p w14:paraId="5F29A393">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2、</w:t>
      </w:r>
      <w:r>
        <w:rPr>
          <w:rFonts w:hint="eastAsia" w:cs="仿宋" w:asciiTheme="minorEastAsia" w:hAnsiTheme="minorEastAsia" w:eastAsiaTheme="minorEastAsia"/>
          <w:bCs/>
        </w:rPr>
        <w:t>法定代表人（负责人）证明书【原件】</w:t>
      </w:r>
    </w:p>
    <w:p w14:paraId="45782FD0">
      <w:pPr>
        <w:spacing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rPr>
        <w:t>3、</w:t>
      </w:r>
      <w:r>
        <w:rPr>
          <w:rFonts w:hint="eastAsia" w:cs="仿宋" w:asciiTheme="minorEastAsia" w:hAnsiTheme="minorEastAsia" w:eastAsiaTheme="minorEastAsia"/>
          <w:bCs/>
        </w:rPr>
        <w:t>法定代表人（负责人）授权委托书【原件】</w:t>
      </w:r>
    </w:p>
    <w:p w14:paraId="3898E88C">
      <w:pPr>
        <w:spacing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bCs/>
        </w:rPr>
        <w:t>4、承诺函【详见格式《承诺函》】</w:t>
      </w:r>
    </w:p>
    <w:p w14:paraId="3A74BC4E">
      <w:pPr>
        <w:spacing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bCs/>
        </w:rPr>
        <w:t>5、其他【如有，按采购公告“申请人的资格要求”提供】</w:t>
      </w:r>
    </w:p>
    <w:p w14:paraId="098471A7">
      <w:pPr>
        <w:adjustRightInd w:val="0"/>
        <w:snapToGrid w:val="0"/>
        <w:spacing w:line="360" w:lineRule="auto"/>
        <w:ind w:firstLine="991" w:firstLineChars="472"/>
        <w:rPr>
          <w:rFonts w:cs="仿宋" w:asciiTheme="minorEastAsia" w:hAnsiTheme="minorEastAsia" w:eastAsiaTheme="minorEastAsia"/>
          <w:bCs/>
        </w:rPr>
      </w:pPr>
    </w:p>
    <w:p w14:paraId="0C080189">
      <w:pPr>
        <w:spacing w:line="360" w:lineRule="auto"/>
        <w:ind w:left="1394" w:leftChars="474" w:hanging="399" w:hangingChars="190"/>
        <w:rPr>
          <w:rFonts w:cs="仿宋" w:asciiTheme="minorEastAsia" w:hAnsiTheme="minorEastAsia" w:eastAsiaTheme="minorEastAsia"/>
          <w:bCs/>
        </w:rPr>
      </w:pPr>
    </w:p>
    <w:p w14:paraId="741EF26F">
      <w:pPr>
        <w:spacing w:line="360" w:lineRule="auto"/>
        <w:ind w:left="1415" w:leftChars="204" w:hanging="987" w:hangingChars="447"/>
        <w:rPr>
          <w:rFonts w:cs="仿宋" w:asciiTheme="minorEastAsia" w:hAnsiTheme="minorEastAsia" w:eastAsiaTheme="minorEastAsia"/>
          <w:b/>
          <w:bCs/>
          <w:color w:val="FF0000"/>
          <w:sz w:val="22"/>
        </w:rPr>
      </w:pPr>
      <w:r>
        <w:rPr>
          <w:rFonts w:hint="eastAsia" w:cs="仿宋" w:asciiTheme="minorEastAsia" w:hAnsiTheme="minorEastAsia" w:eastAsiaTheme="minorEastAsia"/>
          <w:b/>
          <w:bCs/>
          <w:color w:val="FF0000"/>
          <w:sz w:val="22"/>
        </w:rPr>
        <w:t>注：以上资料均须加盖投标供应商公章，原件备查</w:t>
      </w:r>
    </w:p>
    <w:p w14:paraId="5B51EC5B">
      <w:pPr>
        <w:spacing w:line="360" w:lineRule="auto"/>
        <w:ind w:left="1415" w:leftChars="474" w:hanging="420" w:hangingChars="190"/>
        <w:rPr>
          <w:rFonts w:cs="仿宋" w:asciiTheme="minorEastAsia" w:hAnsiTheme="minorEastAsia" w:eastAsiaTheme="minorEastAsia"/>
          <w:b/>
          <w:bCs/>
          <w:color w:val="FF0000"/>
          <w:sz w:val="22"/>
        </w:rPr>
      </w:pPr>
    </w:p>
    <w:p w14:paraId="52CA402D">
      <w:pPr>
        <w:widowControl/>
        <w:jc w:val="left"/>
        <w:rPr>
          <w:rFonts w:cs="仿宋" w:asciiTheme="minorEastAsia" w:hAnsiTheme="minorEastAsia" w:eastAsiaTheme="minorEastAsia"/>
          <w:b/>
          <w:bCs/>
          <w:color w:val="FF0000"/>
          <w:sz w:val="22"/>
        </w:rPr>
      </w:pPr>
      <w:r>
        <w:rPr>
          <w:rFonts w:hint="eastAsia" w:cs="仿宋" w:asciiTheme="minorEastAsia" w:hAnsiTheme="minorEastAsia" w:eastAsiaTheme="minorEastAsia"/>
          <w:b/>
          <w:bCs/>
          <w:color w:val="FF0000"/>
          <w:sz w:val="22"/>
        </w:rPr>
        <w:br w:type="page"/>
      </w:r>
    </w:p>
    <w:p w14:paraId="541427B9">
      <w:pPr>
        <w:adjustRightInd w:val="0"/>
        <w:spacing w:line="300" w:lineRule="auto"/>
        <w:ind w:hanging="2"/>
        <w:jc w:val="center"/>
        <w:rPr>
          <w:rFonts w:cs="仿宋" w:asciiTheme="minorEastAsia" w:hAnsiTheme="minorEastAsia" w:eastAsiaTheme="minorEastAsia"/>
        </w:rPr>
      </w:pPr>
      <w:r>
        <w:rPr>
          <w:rFonts w:hint="eastAsia" w:cs="仿宋" w:asciiTheme="minorEastAsia" w:hAnsiTheme="minorEastAsia" w:eastAsiaTheme="minorEastAsia"/>
          <w:b/>
          <w:snapToGrid w:val="0"/>
          <w:kern w:val="0"/>
          <w:sz w:val="28"/>
        </w:rPr>
        <w:t>承诺函</w:t>
      </w:r>
    </w:p>
    <w:p w14:paraId="6F974AD0">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03F12B57">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610BEF8">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52438E71">
      <w:pPr>
        <w:spacing w:line="400" w:lineRule="exact"/>
        <w:ind w:firstLine="420" w:firstLineChars="200"/>
        <w:rPr>
          <w:rFonts w:ascii="宋体" w:hAnsi="宋体"/>
          <w:szCs w:val="21"/>
        </w:rPr>
      </w:pPr>
      <w:r>
        <w:rPr>
          <w:rFonts w:hint="eastAsia" w:ascii="宋体" w:hAnsi="宋体"/>
          <w:szCs w:val="21"/>
        </w:rPr>
        <w:t>（一）具有独立承担民事责任的能力；</w:t>
      </w:r>
    </w:p>
    <w:p w14:paraId="48A53DDC">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58F86EBA">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22036546">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2428004B">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3D595A0D">
      <w:pPr>
        <w:spacing w:line="400" w:lineRule="exact"/>
        <w:ind w:firstLine="420" w:firstLineChars="200"/>
        <w:rPr>
          <w:rFonts w:ascii="宋体" w:hAnsi="宋体"/>
          <w:szCs w:val="21"/>
        </w:rPr>
      </w:pPr>
      <w:r>
        <w:rPr>
          <w:rFonts w:hint="eastAsia" w:ascii="宋体" w:hAnsi="宋体"/>
          <w:szCs w:val="21"/>
        </w:rPr>
        <w:t>（六）法律、行政法规规定的其他条件。</w:t>
      </w:r>
    </w:p>
    <w:p w14:paraId="01245B20">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rFonts w:ascii="Times New Roman" w:hAnsi="Times New Roman"/>
          <w:szCs w:val="21"/>
        </w:rPr>
        <w:t>因违法经营受到刑事处罚或者责令停产停业、吊销许可证或者执照、较大数额罚款等行政处罚</w:t>
      </w:r>
      <w:r>
        <w:rPr>
          <w:rFonts w:hint="eastAsia" w:ascii="宋体" w:hAnsi="宋体"/>
          <w:szCs w:val="21"/>
        </w:rPr>
        <w:t>。</w:t>
      </w:r>
    </w:p>
    <w:p w14:paraId="728CA387">
      <w:pPr>
        <w:spacing w:line="400" w:lineRule="exact"/>
        <w:ind w:firstLine="420" w:firstLineChars="200"/>
        <w:rPr>
          <w:rFonts w:ascii="宋体" w:hAnsi="宋体"/>
          <w:szCs w:val="21"/>
        </w:rPr>
      </w:pPr>
      <w:r>
        <w:rPr>
          <w:rFonts w:hint="eastAsia" w:ascii="宋体" w:hAnsi="宋体"/>
          <w:szCs w:val="21"/>
        </w:rPr>
        <w:t>3.我单位参与本项目</w:t>
      </w:r>
      <w:r>
        <w:rPr>
          <w:rFonts w:hint="eastAsia" w:ascii="Times New Roman" w:hAnsi="Times New Roman"/>
          <w:szCs w:val="24"/>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szCs w:val="24"/>
        </w:rPr>
        <w:t>除单一来源采购项目外，为采购项目提供整体设计、规范编制或者项目管理、监理、检测等服务的供应商，不得再参加该采购项目的其他采购活动</w:t>
      </w:r>
      <w:r>
        <w:rPr>
          <w:rFonts w:hint="eastAsia" w:ascii="Times New Roman" w:hAnsi="Times New Roman"/>
          <w:szCs w:val="24"/>
        </w:rPr>
        <w:t>。</w:t>
      </w:r>
    </w:p>
    <w:p w14:paraId="1D76F52D">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szCs w:val="24"/>
        </w:rPr>
        <w:t>联合体投标，</w:t>
      </w:r>
      <w:r>
        <w:rPr>
          <w:rFonts w:hint="eastAsia" w:ascii="宋体" w:hAnsi="宋体"/>
          <w:szCs w:val="21"/>
        </w:rPr>
        <w:t>不非法转包或分包，为本项目所提供的货物或服务未侵犯知识产权。</w:t>
      </w:r>
    </w:p>
    <w:p w14:paraId="3886CCE2">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szCs w:val="24"/>
        </w:rPr>
        <w:t>不存在《深圳市财政局政府采购供应商信用信息管理办法》（深财规〔2023〕3号）列明的严重违法失信行为。</w:t>
      </w:r>
    </w:p>
    <w:p w14:paraId="112AAEAE">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我单位参与该项目投标，严格遵循公平竞争的原则，不妨碍其他投标供应商的竞争行为，不损害采购人或者其他投标供应商的合法权益，与其他采购参加人不存在下列串通投标情形：</w:t>
      </w:r>
    </w:p>
    <w:p w14:paraId="6AFB53CA">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5B124CEB">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228149F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71ED6725">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1791CB94">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0F0F9B66">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4F3F9A37">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A39AF1A">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5B395C5A">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供应商的报价时，我单位清楚，本项目将成为重点监管、重点验收项目，我单位将按时保质保量完成，并全力配合有关监管、验收工作；若我单位未按上述要求履约，我单位愿意接受主管部门的处理处罚。</w:t>
      </w:r>
    </w:p>
    <w:p w14:paraId="49977E84">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92A8F14">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21FC2D64">
      <w:pPr>
        <w:spacing w:line="400" w:lineRule="exact"/>
        <w:ind w:firstLine="420" w:firstLineChars="200"/>
        <w:rPr>
          <w:rFonts w:cs="仿宋" w:asciiTheme="minorEastAsia" w:hAnsiTheme="minorEastAsia" w:eastAsiaTheme="minorEastAsia"/>
          <w:szCs w:val="21"/>
        </w:rPr>
      </w:pPr>
      <w:r>
        <w:rPr>
          <w:rFonts w:hint="eastAsia" w:ascii="宋体" w:hAnsi="宋体"/>
          <w:szCs w:val="21"/>
        </w:rPr>
        <w:t>以上承诺，如有违反，愿依照相关法律法规处理，并承担由此给采购人带来的损失</w:t>
      </w:r>
      <w:r>
        <w:rPr>
          <w:rFonts w:hint="eastAsia" w:cs="仿宋" w:asciiTheme="minorEastAsia" w:hAnsiTheme="minorEastAsia" w:eastAsiaTheme="minorEastAsia"/>
          <w:szCs w:val="21"/>
        </w:rPr>
        <w:t>。</w:t>
      </w:r>
    </w:p>
    <w:p w14:paraId="354BFAEF">
      <w:pPr>
        <w:spacing w:line="360" w:lineRule="auto"/>
        <w:ind w:firstLine="600"/>
        <w:rPr>
          <w:rFonts w:cs="仿宋" w:asciiTheme="minorEastAsia" w:hAnsiTheme="minorEastAsia" w:eastAsiaTheme="minorEastAsia"/>
          <w:snapToGrid w:val="0"/>
          <w:szCs w:val="18"/>
        </w:rPr>
      </w:pPr>
    </w:p>
    <w:p w14:paraId="7A445D87">
      <w:pPr>
        <w:adjustRightInd w:val="0"/>
        <w:snapToGrid w:val="0"/>
        <w:spacing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投标供应商：（盖章）</w:t>
      </w:r>
    </w:p>
    <w:p w14:paraId="30A3CCD5">
      <w:pPr>
        <w:adjustRightInd w:val="0"/>
        <w:snapToGrid w:val="0"/>
        <w:spacing w:line="300" w:lineRule="auto"/>
        <w:rPr>
          <w:rFonts w:cs="仿宋" w:asciiTheme="minorEastAsia" w:hAnsiTheme="minorEastAsia" w:eastAsiaTheme="minorEastAsia"/>
          <w:snapToGrid w:val="0"/>
          <w:kern w:val="0"/>
        </w:rPr>
      </w:pPr>
    </w:p>
    <w:p w14:paraId="0B03E131">
      <w:pPr>
        <w:adjustRightInd w:val="0"/>
        <w:snapToGrid w:val="0"/>
        <w:spacing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法定代表人或其授权代表：（签字或盖章）</w:t>
      </w:r>
    </w:p>
    <w:p w14:paraId="6B6702F1">
      <w:pPr>
        <w:snapToGrid w:val="0"/>
        <w:spacing w:line="360" w:lineRule="auto"/>
        <w:ind w:left="560"/>
        <w:jc w:val="right"/>
        <w:rPr>
          <w:rFonts w:cs="仿宋" w:asciiTheme="minorEastAsia" w:hAnsiTheme="minorEastAsia" w:eastAsiaTheme="minorEastAsia"/>
          <w:bCs/>
        </w:rPr>
      </w:pPr>
      <w:r>
        <w:rPr>
          <w:rFonts w:hint="eastAsia" w:cs="仿宋" w:asciiTheme="minorEastAsia" w:hAnsiTheme="minorEastAsia" w:eastAsiaTheme="minorEastAsia"/>
        </w:rPr>
        <w:t>年     月    日</w:t>
      </w:r>
    </w:p>
    <w:p w14:paraId="0B5EEF3E">
      <w:pPr>
        <w:widowControl/>
        <w:jc w:val="left"/>
        <w:rPr>
          <w:rFonts w:cs="仿宋" w:asciiTheme="minorEastAsia" w:hAnsiTheme="minorEastAsia" w:eastAsiaTheme="minorEastAsia"/>
        </w:rPr>
      </w:pPr>
      <w:r>
        <w:rPr>
          <w:rFonts w:cs="仿宋" w:asciiTheme="minorEastAsia" w:hAnsiTheme="minorEastAsia" w:eastAsiaTheme="minorEastAsia"/>
        </w:rPr>
        <w:br w:type="page"/>
      </w:r>
    </w:p>
    <w:p w14:paraId="439AF139">
      <w:pPr>
        <w:widowControl/>
        <w:jc w:val="left"/>
        <w:rPr>
          <w:rFonts w:cs="仿宋" w:asciiTheme="minorEastAsia" w:hAnsiTheme="minorEastAsia" w:eastAsiaTheme="minorEastAsia"/>
        </w:rPr>
      </w:pPr>
    </w:p>
    <w:p w14:paraId="703F0809">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法定代表人（负责人）证明书（格式）</w:t>
      </w:r>
    </w:p>
    <w:p w14:paraId="70F98FDA">
      <w:pPr>
        <w:jc w:val="center"/>
        <w:rPr>
          <w:rFonts w:cs="仿宋" w:asciiTheme="minorEastAsia" w:hAnsiTheme="minorEastAsia" w:eastAsiaTheme="minorEastAsia"/>
          <w:b/>
          <w:sz w:val="32"/>
          <w:szCs w:val="36"/>
        </w:rPr>
      </w:pPr>
    </w:p>
    <w:p w14:paraId="692987A5">
      <w:pPr>
        <w:tabs>
          <w:tab w:val="left" w:pos="900"/>
        </w:tabs>
        <w:spacing w:line="360" w:lineRule="auto"/>
        <w:ind w:firstLine="630" w:firstLineChars="300"/>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同志，现任我单位</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职务，为法定代表人（负责人），特此证明。</w:t>
      </w:r>
    </w:p>
    <w:p w14:paraId="60B9539B">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有效日期与本公司投标文件中标注的投标有效期相同。签发日期：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月</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56FF769E">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附：</w:t>
      </w:r>
    </w:p>
    <w:p w14:paraId="4C88FA16">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 xml:space="preserve">营业执照（注册号）： </w:t>
      </w:r>
    </w:p>
    <w:p w14:paraId="1DCFEA35">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经济性质：</w:t>
      </w:r>
    </w:p>
    <w:p w14:paraId="38B8BD21">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主营（产）：</w:t>
      </w:r>
    </w:p>
    <w:p w14:paraId="46796AE6">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兼营（产）：</w:t>
      </w:r>
    </w:p>
    <w:p w14:paraId="722FE662">
      <w:pPr>
        <w:spacing w:line="360" w:lineRule="auto"/>
        <w:jc w:val="right"/>
        <w:rPr>
          <w:rFonts w:cs="仿宋" w:asciiTheme="minorEastAsia" w:hAnsiTheme="minorEastAsia" w:eastAsiaTheme="minorEastAsia"/>
        </w:rPr>
      </w:pPr>
      <w:r>
        <w:rPr>
          <w:rFonts w:hint="eastAsia" w:cs="仿宋" w:asciiTheme="minorEastAsia" w:hAnsiTheme="minorEastAsia" w:eastAsiaTheme="minorEastAsia"/>
        </w:rPr>
        <w:t>单位名称：（公章）：</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w:t>
      </w:r>
    </w:p>
    <w:p w14:paraId="545C2EAB">
      <w:pPr>
        <w:spacing w:line="360" w:lineRule="auto"/>
        <w:ind w:firstLine="743" w:firstLineChars="354"/>
        <w:jc w:val="right"/>
        <w:rPr>
          <w:rFonts w:cs="仿宋" w:asciiTheme="minorEastAsia" w:hAnsiTheme="minorEastAsia" w:eastAsiaTheme="minorEastAsia"/>
        </w:rPr>
      </w:pPr>
      <w:r>
        <w:rPr>
          <w:rFonts w:hint="eastAsia" w:cs="仿宋" w:asciiTheme="minorEastAsia" w:hAnsiTheme="minorEastAsia" w:eastAsiaTheme="minorEastAsia"/>
        </w:rPr>
        <w:t>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372DD093">
      <w:pPr>
        <w:spacing w:line="360" w:lineRule="auto"/>
        <w:ind w:firstLine="849" w:firstLineChars="354"/>
        <w:jc w:val="right"/>
        <w:rPr>
          <w:rFonts w:cs="仿宋" w:asciiTheme="minorEastAsia" w:hAnsiTheme="minorEastAsia" w:eastAsiaTheme="minorEastAsia"/>
          <w:sz w:val="24"/>
        </w:rPr>
      </w:pPr>
    </w:p>
    <w:p w14:paraId="0CBB731A">
      <w:pPr>
        <w:spacing w:line="360" w:lineRule="auto"/>
        <w:rPr>
          <w:rFonts w:cs="仿宋" w:asciiTheme="minorEastAsia" w:hAnsiTheme="minorEastAsia" w:eastAsiaTheme="minorEastAsia"/>
          <w:b/>
          <w:bCs/>
        </w:rPr>
      </w:pPr>
      <w:r>
        <w:rPr>
          <w:rFonts w:cs="仿宋" w:asciiTheme="minorEastAsia" w:hAnsiTheme="minorEastAsia" w:eastAsiaTheme="minorEastAsia"/>
          <w:b/>
          <w:bCs/>
        </w:rPr>
        <mc:AlternateContent>
          <mc:Choice Requires="wps">
            <w:drawing>
              <wp:anchor distT="0" distB="0" distL="114300" distR="114300" simplePos="0" relativeHeight="251661312" behindDoc="0" locked="0" layoutInCell="1" allowOverlap="1">
                <wp:simplePos x="0" y="0"/>
                <wp:positionH relativeFrom="column">
                  <wp:posOffset>2840355</wp:posOffset>
                </wp:positionH>
                <wp:positionV relativeFrom="paragraph">
                  <wp:posOffset>136525</wp:posOffset>
                </wp:positionV>
                <wp:extent cx="2705100" cy="1981200"/>
                <wp:effectExtent l="4445" t="5080" r="14605" b="13970"/>
                <wp:wrapNone/>
                <wp:docPr id="4" name="Rectangle 5"/>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CF0F08">
                            <w:pPr>
                              <w:spacing w:line="360" w:lineRule="auto"/>
                              <w:ind w:firstLine="1680" w:firstLineChars="800"/>
                            </w:pPr>
                          </w:p>
                          <w:p w14:paraId="4FE7F10B">
                            <w:pPr>
                              <w:spacing w:line="360" w:lineRule="auto"/>
                              <w:jc w:val="center"/>
                              <w:rPr>
                                <w:rFonts w:ascii="仿宋" w:hAnsi="仿宋" w:eastAsia="仿宋"/>
                                <w:sz w:val="22"/>
                              </w:rPr>
                            </w:pPr>
                            <w:r>
                              <w:rPr>
                                <w:rFonts w:hint="eastAsia" w:ascii="仿宋" w:hAnsi="仿宋" w:eastAsia="仿宋"/>
                                <w:sz w:val="22"/>
                              </w:rPr>
                              <w:t>法定代表人</w:t>
                            </w:r>
                          </w:p>
                          <w:p w14:paraId="7D13C429">
                            <w:pPr>
                              <w:spacing w:line="360" w:lineRule="auto"/>
                              <w:jc w:val="center"/>
                              <w:rPr>
                                <w:rFonts w:ascii="仿宋" w:hAnsi="仿宋" w:eastAsia="仿宋"/>
                                <w:sz w:val="22"/>
                              </w:rPr>
                            </w:pPr>
                            <w:r>
                              <w:rPr>
                                <w:rFonts w:hint="eastAsia" w:ascii="仿宋" w:hAnsi="仿宋" w:eastAsia="仿宋"/>
                                <w:sz w:val="22"/>
                              </w:rPr>
                              <w:t>居民身份证复印件粘贴处</w:t>
                            </w:r>
                          </w:p>
                          <w:p w14:paraId="0C6F1D3F">
                            <w:pPr>
                              <w:spacing w:line="360" w:lineRule="auto"/>
                              <w:jc w:val="center"/>
                              <w:rPr>
                                <w:rFonts w:ascii="仿宋" w:hAnsi="仿宋" w:eastAsia="仿宋"/>
                                <w:sz w:val="22"/>
                              </w:rPr>
                            </w:pPr>
                            <w:r>
                              <w:rPr>
                                <w:rFonts w:hint="eastAsia" w:ascii="仿宋" w:hAnsi="仿宋" w:eastAsia="仿宋"/>
                                <w:sz w:val="22"/>
                              </w:rPr>
                              <w:t>（反面）</w:t>
                            </w:r>
                          </w:p>
                        </w:txbxContent>
                      </wps:txbx>
                      <wps:bodyPr upright="1"/>
                    </wps:wsp>
                  </a:graphicData>
                </a:graphic>
              </wp:anchor>
            </w:drawing>
          </mc:Choice>
          <mc:Fallback>
            <w:pict>
              <v:rect id="Rectangle 5" o:spid="_x0000_s1026" o:spt="1" style="position:absolute;left:0pt;margin-left:223.65pt;margin-top:10.75pt;height:156pt;width:213pt;z-index:251661312;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cT0NvZAAAACgEAAA8AAAAAAAAAAQAgAAAAIgAAAGRycy9kb3ducmV2&#10;LnhtbFBLAQIUABQAAAAIAIdO4kCS8KSI+wEAADsEAAAOAAAAAAAAAAEAIAAAACgBAABkcnMvZTJv&#10;RG9jLnhtbFBLBQYAAAAABgAGAFkBAACVBQAAAAA=&#10;">
                <v:fill on="t" focussize="0,0"/>
                <v:stroke color="#000000" joinstyle="miter"/>
                <v:imagedata o:title=""/>
                <o:lock v:ext="edit" aspectratio="f"/>
                <v:textbox>
                  <w:txbxContent>
                    <w:p w14:paraId="56CF0F08">
                      <w:pPr>
                        <w:spacing w:line="360" w:lineRule="auto"/>
                        <w:ind w:firstLine="1680" w:firstLineChars="800"/>
                      </w:pPr>
                    </w:p>
                    <w:p w14:paraId="4FE7F10B">
                      <w:pPr>
                        <w:spacing w:line="360" w:lineRule="auto"/>
                        <w:jc w:val="center"/>
                        <w:rPr>
                          <w:rFonts w:ascii="仿宋" w:hAnsi="仿宋" w:eastAsia="仿宋"/>
                          <w:sz w:val="22"/>
                        </w:rPr>
                      </w:pPr>
                      <w:r>
                        <w:rPr>
                          <w:rFonts w:hint="eastAsia" w:ascii="仿宋" w:hAnsi="仿宋" w:eastAsia="仿宋"/>
                          <w:sz w:val="22"/>
                        </w:rPr>
                        <w:t>法定代表人</w:t>
                      </w:r>
                    </w:p>
                    <w:p w14:paraId="7D13C429">
                      <w:pPr>
                        <w:spacing w:line="360" w:lineRule="auto"/>
                        <w:jc w:val="center"/>
                        <w:rPr>
                          <w:rFonts w:ascii="仿宋" w:hAnsi="仿宋" w:eastAsia="仿宋"/>
                          <w:sz w:val="22"/>
                        </w:rPr>
                      </w:pPr>
                      <w:r>
                        <w:rPr>
                          <w:rFonts w:hint="eastAsia" w:ascii="仿宋" w:hAnsi="仿宋" w:eastAsia="仿宋"/>
                          <w:sz w:val="22"/>
                        </w:rPr>
                        <w:t>居民身份证复印件粘贴处</w:t>
                      </w:r>
                    </w:p>
                    <w:p w14:paraId="0C6F1D3F">
                      <w:pPr>
                        <w:spacing w:line="360" w:lineRule="auto"/>
                        <w:jc w:val="center"/>
                        <w:rPr>
                          <w:rFonts w:ascii="仿宋" w:hAnsi="仿宋" w:eastAsia="仿宋"/>
                          <w:sz w:val="22"/>
                        </w:rPr>
                      </w:pPr>
                      <w:r>
                        <w:rPr>
                          <w:rFonts w:hint="eastAsia" w:ascii="仿宋" w:hAnsi="仿宋" w:eastAsia="仿宋"/>
                          <w:sz w:val="22"/>
                        </w:rPr>
                        <w:t>（反面）</w:t>
                      </w:r>
                    </w:p>
                  </w:txbxContent>
                </v:textbox>
              </v:rect>
            </w:pict>
          </mc:Fallback>
        </mc:AlternateContent>
      </w:r>
      <w:r>
        <w:rPr>
          <w:rFonts w:cs="仿宋" w:asciiTheme="minorEastAsia" w:hAnsiTheme="minorEastAsia" w:eastAsiaTheme="minorEastAsia"/>
          <w:b/>
          <w:bCs/>
        </w:rPr>
        <mc:AlternateContent>
          <mc:Choice Requires="wps">
            <w:drawing>
              <wp:anchor distT="0" distB="0" distL="114300" distR="114300" simplePos="0" relativeHeight="251660288" behindDoc="0" locked="0" layoutInCell="1" allowOverlap="1">
                <wp:simplePos x="0" y="0"/>
                <wp:positionH relativeFrom="column">
                  <wp:posOffset>-112395</wp:posOffset>
                </wp:positionH>
                <wp:positionV relativeFrom="paragraph">
                  <wp:posOffset>136525</wp:posOffset>
                </wp:positionV>
                <wp:extent cx="2705100" cy="1981200"/>
                <wp:effectExtent l="4445" t="5080" r="14605" b="13970"/>
                <wp:wrapNone/>
                <wp:docPr id="3" name="Rectangle 4"/>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10F47A3">
                            <w:pPr>
                              <w:spacing w:line="360" w:lineRule="auto"/>
                              <w:jc w:val="center"/>
                            </w:pPr>
                          </w:p>
                          <w:p w14:paraId="0C81121D">
                            <w:pPr>
                              <w:spacing w:line="360" w:lineRule="auto"/>
                              <w:jc w:val="center"/>
                              <w:rPr>
                                <w:rFonts w:ascii="仿宋" w:hAnsi="仿宋" w:eastAsia="仿宋"/>
                                <w:sz w:val="22"/>
                              </w:rPr>
                            </w:pPr>
                            <w:r>
                              <w:rPr>
                                <w:rFonts w:hint="eastAsia" w:ascii="仿宋" w:hAnsi="仿宋" w:eastAsia="仿宋"/>
                                <w:sz w:val="22"/>
                              </w:rPr>
                              <w:t>法定代表人</w:t>
                            </w:r>
                            <w:r>
                              <w:rPr>
                                <w:rFonts w:hint="eastAsia" w:ascii="仿宋" w:hAnsi="仿宋" w:eastAsia="仿宋"/>
                              </w:rPr>
                              <w:t>（负责人）</w:t>
                            </w:r>
                          </w:p>
                          <w:p w14:paraId="2C6FCBB0">
                            <w:pPr>
                              <w:spacing w:line="360" w:lineRule="auto"/>
                              <w:jc w:val="center"/>
                              <w:rPr>
                                <w:rFonts w:ascii="仿宋" w:hAnsi="仿宋" w:eastAsia="仿宋"/>
                                <w:sz w:val="22"/>
                              </w:rPr>
                            </w:pPr>
                            <w:r>
                              <w:rPr>
                                <w:rFonts w:hint="eastAsia" w:ascii="仿宋" w:hAnsi="仿宋" w:eastAsia="仿宋"/>
                                <w:sz w:val="22"/>
                              </w:rPr>
                              <w:t>居民身份证复印件粘贴处</w:t>
                            </w:r>
                          </w:p>
                          <w:p w14:paraId="5F312946">
                            <w:pPr>
                              <w:spacing w:line="360" w:lineRule="auto"/>
                              <w:jc w:val="center"/>
                              <w:rPr>
                                <w:rFonts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4" o:spid="_x0000_s1026" o:spt="1" style="position:absolute;left:0pt;margin-left:-8.85pt;margin-top:10.75pt;height:156pt;width:213pt;z-index:251660288;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E3ErvZAAAACgEAAA8AAAAAAAAAAQAgAAAAIgAAAGRycy9kb3ducmV2&#10;LnhtbFBLAQIUABQAAAAIAIdO4kAPKIls+wEAADsEAAAOAAAAAAAAAAEAIAAAACgBAABkcnMvZTJv&#10;RG9jLnhtbFBLBQYAAAAABgAGAFkBAACVBQAAAAA=&#10;">
                <v:fill on="t" focussize="0,0"/>
                <v:stroke color="#000000" joinstyle="miter"/>
                <v:imagedata o:title=""/>
                <o:lock v:ext="edit" aspectratio="f"/>
                <v:textbox>
                  <w:txbxContent>
                    <w:p w14:paraId="410F47A3">
                      <w:pPr>
                        <w:spacing w:line="360" w:lineRule="auto"/>
                        <w:jc w:val="center"/>
                      </w:pPr>
                    </w:p>
                    <w:p w14:paraId="0C81121D">
                      <w:pPr>
                        <w:spacing w:line="360" w:lineRule="auto"/>
                        <w:jc w:val="center"/>
                        <w:rPr>
                          <w:rFonts w:ascii="仿宋" w:hAnsi="仿宋" w:eastAsia="仿宋"/>
                          <w:sz w:val="22"/>
                        </w:rPr>
                      </w:pPr>
                      <w:r>
                        <w:rPr>
                          <w:rFonts w:hint="eastAsia" w:ascii="仿宋" w:hAnsi="仿宋" w:eastAsia="仿宋"/>
                          <w:sz w:val="22"/>
                        </w:rPr>
                        <w:t>法定代表人</w:t>
                      </w:r>
                      <w:r>
                        <w:rPr>
                          <w:rFonts w:hint="eastAsia" w:ascii="仿宋" w:hAnsi="仿宋" w:eastAsia="仿宋"/>
                        </w:rPr>
                        <w:t>（负责人）</w:t>
                      </w:r>
                    </w:p>
                    <w:p w14:paraId="2C6FCBB0">
                      <w:pPr>
                        <w:spacing w:line="360" w:lineRule="auto"/>
                        <w:jc w:val="center"/>
                        <w:rPr>
                          <w:rFonts w:ascii="仿宋" w:hAnsi="仿宋" w:eastAsia="仿宋"/>
                          <w:sz w:val="22"/>
                        </w:rPr>
                      </w:pPr>
                      <w:r>
                        <w:rPr>
                          <w:rFonts w:hint="eastAsia" w:ascii="仿宋" w:hAnsi="仿宋" w:eastAsia="仿宋"/>
                          <w:sz w:val="22"/>
                        </w:rPr>
                        <w:t>居民身份证复印件粘贴处</w:t>
                      </w:r>
                    </w:p>
                    <w:p w14:paraId="5F312946">
                      <w:pPr>
                        <w:spacing w:line="360" w:lineRule="auto"/>
                        <w:jc w:val="center"/>
                        <w:rPr>
                          <w:rFonts w:ascii="仿宋" w:hAnsi="仿宋" w:eastAsia="仿宋"/>
                          <w:sz w:val="22"/>
                        </w:rPr>
                      </w:pPr>
                      <w:r>
                        <w:rPr>
                          <w:rFonts w:hint="eastAsia" w:ascii="仿宋" w:hAnsi="仿宋" w:eastAsia="仿宋"/>
                          <w:sz w:val="22"/>
                        </w:rPr>
                        <w:t>（正面）</w:t>
                      </w:r>
                    </w:p>
                  </w:txbxContent>
                </v:textbox>
              </v:rect>
            </w:pict>
          </mc:Fallback>
        </mc:AlternateContent>
      </w:r>
    </w:p>
    <w:p w14:paraId="18A79343">
      <w:pPr>
        <w:spacing w:line="360" w:lineRule="auto"/>
        <w:rPr>
          <w:rFonts w:cs="仿宋" w:asciiTheme="minorEastAsia" w:hAnsiTheme="minorEastAsia" w:eastAsiaTheme="minorEastAsia"/>
          <w:b/>
          <w:bCs/>
        </w:rPr>
      </w:pPr>
    </w:p>
    <w:p w14:paraId="1A99A332">
      <w:pPr>
        <w:spacing w:line="360" w:lineRule="auto"/>
        <w:rPr>
          <w:rFonts w:cs="仿宋" w:asciiTheme="minorEastAsia" w:hAnsiTheme="minorEastAsia" w:eastAsiaTheme="minorEastAsia"/>
          <w:b/>
          <w:bCs/>
        </w:rPr>
      </w:pPr>
    </w:p>
    <w:p w14:paraId="3910E759">
      <w:pPr>
        <w:spacing w:line="360" w:lineRule="auto"/>
        <w:rPr>
          <w:rFonts w:cs="仿宋" w:asciiTheme="minorEastAsia" w:hAnsiTheme="minorEastAsia" w:eastAsiaTheme="minorEastAsia"/>
          <w:b/>
          <w:bCs/>
        </w:rPr>
      </w:pPr>
    </w:p>
    <w:p w14:paraId="042D189D">
      <w:pPr>
        <w:spacing w:line="360" w:lineRule="auto"/>
        <w:rPr>
          <w:rFonts w:cs="仿宋" w:asciiTheme="minorEastAsia" w:hAnsiTheme="minorEastAsia" w:eastAsiaTheme="minorEastAsia"/>
          <w:b/>
          <w:bCs/>
        </w:rPr>
      </w:pPr>
    </w:p>
    <w:p w14:paraId="5EE83141">
      <w:pPr>
        <w:spacing w:line="360" w:lineRule="auto"/>
        <w:rPr>
          <w:rFonts w:cs="仿宋" w:asciiTheme="minorEastAsia" w:hAnsiTheme="minorEastAsia" w:eastAsiaTheme="minorEastAsia"/>
          <w:b/>
          <w:bCs/>
        </w:rPr>
      </w:pPr>
    </w:p>
    <w:p w14:paraId="564FBF05">
      <w:pPr>
        <w:spacing w:line="360" w:lineRule="auto"/>
        <w:rPr>
          <w:rFonts w:cs="仿宋" w:asciiTheme="minorEastAsia" w:hAnsiTheme="minorEastAsia" w:eastAsiaTheme="minorEastAsia"/>
          <w:b/>
          <w:bCs/>
        </w:rPr>
      </w:pPr>
      <w:r>
        <w:rPr>
          <w:rFonts w:hint="eastAsia" w:cs="仿宋" w:asciiTheme="minorEastAsia" w:hAnsiTheme="minorEastAsia" w:eastAsiaTheme="minorEastAsia"/>
          <w:b/>
          <w:bCs/>
        </w:rPr>
        <w:t xml:space="preserve">                         </w:t>
      </w:r>
    </w:p>
    <w:p w14:paraId="5E316354">
      <w:pPr>
        <w:rPr>
          <w:rFonts w:cs="仿宋" w:asciiTheme="minorEastAsia" w:hAnsiTheme="minorEastAsia" w:eastAsiaTheme="minorEastAsia"/>
        </w:rPr>
      </w:pPr>
    </w:p>
    <w:p w14:paraId="060AE38C">
      <w:pPr>
        <w:rPr>
          <w:rFonts w:cs="仿宋" w:asciiTheme="minorEastAsia" w:hAnsiTheme="minorEastAsia" w:eastAsiaTheme="minorEastAsia"/>
        </w:rPr>
      </w:pPr>
    </w:p>
    <w:p w14:paraId="72A0FC05">
      <w:pPr>
        <w:rPr>
          <w:rFonts w:cs="仿宋" w:asciiTheme="minorEastAsia" w:hAnsiTheme="minorEastAsia" w:eastAsiaTheme="minorEastAsia"/>
        </w:rPr>
      </w:pPr>
    </w:p>
    <w:p w14:paraId="501CCC60">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529205A0">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法定代表人（负责人）授权委托书（格式）</w:t>
      </w:r>
    </w:p>
    <w:p w14:paraId="4C73B70E">
      <w:pPr>
        <w:spacing w:line="360" w:lineRule="auto"/>
        <w:rPr>
          <w:rFonts w:cs="仿宋" w:asciiTheme="minorEastAsia" w:hAnsiTheme="minorEastAsia" w:eastAsiaTheme="minorEastAsia"/>
        </w:rPr>
      </w:pPr>
    </w:p>
    <w:p w14:paraId="516641D6">
      <w:pPr>
        <w:spacing w:line="360" w:lineRule="auto"/>
        <w:rPr>
          <w:rFonts w:cs="仿宋" w:asciiTheme="minorEastAsia" w:hAnsiTheme="minorEastAsia" w:eastAsiaTheme="minorEastAsia"/>
        </w:rPr>
      </w:pPr>
      <w:r>
        <w:rPr>
          <w:rFonts w:hint="eastAsia" w:cs="仿宋" w:asciiTheme="minorEastAsia" w:hAnsiTheme="minorEastAsia" w:eastAsiaTheme="minorEastAsia"/>
        </w:rPr>
        <w:t>深圳市中正招标有限公司：</w:t>
      </w:r>
    </w:p>
    <w:p w14:paraId="77A85851">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现委派</w:t>
      </w:r>
      <w:r>
        <w:rPr>
          <w:rFonts w:hint="eastAsia" w:cs="仿宋" w:asciiTheme="minorEastAsia" w:hAnsiTheme="minorEastAsia" w:eastAsiaTheme="minorEastAsia"/>
          <w:u w:val="single"/>
        </w:rPr>
        <w:t>（姓名、职务）</w:t>
      </w:r>
      <w:r>
        <w:rPr>
          <w:rFonts w:hint="eastAsia" w:cs="仿宋" w:asciiTheme="minorEastAsia" w:hAnsiTheme="minorEastAsia" w:eastAsiaTheme="minorEastAsia"/>
        </w:rPr>
        <w:t>参加贵公司组织的</w:t>
      </w:r>
      <w:r>
        <w:rPr>
          <w:rFonts w:hint="eastAsia" w:cs="仿宋" w:asciiTheme="minorEastAsia" w:hAnsiTheme="minorEastAsia" w:eastAsiaTheme="minorEastAsia"/>
          <w:u w:val="single"/>
        </w:rPr>
        <w:t>（采购项目名称、编号）</w:t>
      </w:r>
      <w:r>
        <w:rPr>
          <w:rFonts w:hint="eastAsia" w:cs="仿宋" w:asciiTheme="minorEastAsia" w:hAnsiTheme="minorEastAsia" w:eastAsiaTheme="minorEastAsia"/>
        </w:rPr>
        <w:t>采购活动，全权代表我单位处理投标的有关事宜。</w:t>
      </w:r>
    </w:p>
    <w:p w14:paraId="5C5E608C">
      <w:pPr>
        <w:spacing w:line="360" w:lineRule="auto"/>
        <w:rPr>
          <w:rFonts w:cs="仿宋" w:asciiTheme="minorEastAsia" w:hAnsiTheme="minorEastAsia" w:eastAsiaTheme="minorEastAsia"/>
        </w:rPr>
      </w:pPr>
    </w:p>
    <w:p w14:paraId="5E694D5A">
      <w:pPr>
        <w:adjustRightInd w:val="0"/>
        <w:snapToGrid w:val="0"/>
        <w:spacing w:line="360" w:lineRule="auto"/>
        <w:ind w:firstLine="629"/>
        <w:rPr>
          <w:rFonts w:cs="仿宋" w:asciiTheme="minorEastAsia" w:hAnsiTheme="minorEastAsia" w:eastAsiaTheme="minorEastAsia"/>
          <w:b/>
        </w:rPr>
      </w:pPr>
      <w:r>
        <w:rPr>
          <w:rFonts w:hint="eastAsia" w:cs="仿宋" w:asciiTheme="minorEastAsia" w:hAnsiTheme="minorEastAsia" w:eastAsiaTheme="minorEastAsia"/>
          <w:b/>
        </w:rPr>
        <w:t>附授权代表情况：</w:t>
      </w:r>
    </w:p>
    <w:p w14:paraId="77887AA5">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姓       名：</w:t>
      </w:r>
    </w:p>
    <w:p w14:paraId="70A5395D">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性       别：</w:t>
      </w:r>
    </w:p>
    <w:p w14:paraId="3BD03C32">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年       龄：</w:t>
      </w:r>
    </w:p>
    <w:p w14:paraId="6EA9EFAB">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职       务：</w:t>
      </w:r>
    </w:p>
    <w:p w14:paraId="1E3029AE">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身 份证号码：</w:t>
      </w:r>
    </w:p>
    <w:p w14:paraId="613937A5">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 xml:space="preserve">通 讯 地 址： </w:t>
      </w:r>
    </w:p>
    <w:p w14:paraId="27AB3DDE">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 xml:space="preserve">联 系 方 式： </w:t>
      </w:r>
    </w:p>
    <w:p w14:paraId="04F8C6FB">
      <w:pPr>
        <w:spacing w:line="360" w:lineRule="auto"/>
        <w:ind w:firstLine="630"/>
        <w:rPr>
          <w:rFonts w:cs="仿宋" w:asciiTheme="minorEastAsia" w:hAnsiTheme="minorEastAsia" w:eastAsiaTheme="minorEastAsia"/>
        </w:rPr>
      </w:pPr>
      <w:r>
        <w:rPr>
          <w:rFonts w:hint="eastAsia" w:cs="仿宋" w:asciiTheme="minorEastAsia" w:hAnsiTheme="minorEastAsia" w:eastAsiaTheme="minorEastAsia"/>
        </w:rPr>
        <w:t>单 位 名 称：（公章）</w:t>
      </w:r>
    </w:p>
    <w:p w14:paraId="0300ACC1">
      <w:pPr>
        <w:spacing w:line="360" w:lineRule="auto"/>
        <w:ind w:firstLine="630"/>
        <w:rPr>
          <w:rFonts w:cs="仿宋" w:asciiTheme="minorEastAsia" w:hAnsiTheme="minorEastAsia" w:eastAsiaTheme="minorEastAsia"/>
        </w:rPr>
      </w:pPr>
      <w:r>
        <w:rPr>
          <w:rFonts w:hint="eastAsia" w:cs="仿宋" w:asciiTheme="minorEastAsia" w:hAnsiTheme="minorEastAsia" w:eastAsiaTheme="minorEastAsia"/>
        </w:rPr>
        <w:t>法 人 代 表：（</w:t>
      </w:r>
      <w:r>
        <w:rPr>
          <w:rFonts w:hint="eastAsia" w:cs="仿宋" w:asciiTheme="minorEastAsia" w:hAnsiTheme="minorEastAsia" w:eastAsiaTheme="minorEastAsia"/>
          <w:snapToGrid w:val="0"/>
          <w:kern w:val="0"/>
        </w:rPr>
        <w:t>签字或盖章</w:t>
      </w:r>
      <w:r>
        <w:rPr>
          <w:rFonts w:hint="eastAsia" w:cs="仿宋" w:asciiTheme="minorEastAsia" w:hAnsiTheme="minorEastAsia" w:eastAsiaTheme="minorEastAsia"/>
        </w:rPr>
        <w:t>）</w:t>
      </w:r>
    </w:p>
    <w:p w14:paraId="0213EF7D">
      <w:pPr>
        <w:spacing w:line="360" w:lineRule="auto"/>
        <w:ind w:firstLine="630"/>
        <w:rPr>
          <w:rFonts w:cs="仿宋" w:asciiTheme="minorEastAsia" w:hAnsiTheme="minorEastAsia" w:eastAsiaTheme="minorEastAsia"/>
        </w:rPr>
      </w:pPr>
    </w:p>
    <w:p w14:paraId="0A8FF94E">
      <w:pPr>
        <w:adjustRightInd w:val="0"/>
        <w:snapToGrid w:val="0"/>
        <w:spacing w:line="360" w:lineRule="auto"/>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4E0D95AC">
      <w:pPr>
        <w:spacing w:line="360" w:lineRule="auto"/>
        <w:rPr>
          <w:rFonts w:cs="仿宋" w:asciiTheme="minorEastAsia" w:hAnsiTheme="minorEastAsia" w:eastAsiaTheme="minorEastAsia"/>
        </w:rPr>
      </w:pPr>
      <w:bookmarkStart w:id="5" w:name="_Toc226217114"/>
      <w:r>
        <w:rPr>
          <w:rFonts w:cs="仿宋" w:asciiTheme="minorEastAsia" w:hAnsiTheme="minorEastAsia" w:eastAsiaTheme="minorEastAsia"/>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71120</wp:posOffset>
                </wp:positionV>
                <wp:extent cx="2619375" cy="1722755"/>
                <wp:effectExtent l="4445" t="4445" r="5080" b="6350"/>
                <wp:wrapNone/>
                <wp:docPr id="5" name="Rectangle 2"/>
                <wp:cNvGraphicFramePr/>
                <a:graphic xmlns:a="http://schemas.openxmlformats.org/drawingml/2006/main">
                  <a:graphicData uri="http://schemas.microsoft.com/office/word/2010/wordprocessingShape">
                    <wps:wsp>
                      <wps:cNvSpPr/>
                      <wps:spPr>
                        <a:xfrm>
                          <a:off x="0" y="0"/>
                          <a:ext cx="2619375" cy="1722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D4D91D9">
                            <w:pPr>
                              <w:spacing w:line="360" w:lineRule="auto"/>
                              <w:ind w:firstLine="1260" w:firstLineChars="600"/>
                            </w:pPr>
                          </w:p>
                          <w:p w14:paraId="71ACF5C8">
                            <w:pPr>
                              <w:spacing w:line="360" w:lineRule="auto"/>
                              <w:jc w:val="center"/>
                              <w:rPr>
                                <w:rFonts w:ascii="仿宋" w:hAnsi="仿宋" w:eastAsia="仿宋"/>
                                <w:sz w:val="22"/>
                              </w:rPr>
                            </w:pPr>
                            <w:r>
                              <w:rPr>
                                <w:rFonts w:hint="eastAsia" w:ascii="仿宋" w:hAnsi="仿宋" w:eastAsia="仿宋"/>
                                <w:sz w:val="22"/>
                              </w:rPr>
                              <w:t>被授权人（授权代表）</w:t>
                            </w:r>
                          </w:p>
                          <w:p w14:paraId="6894EC96">
                            <w:pPr>
                              <w:spacing w:line="360" w:lineRule="auto"/>
                              <w:jc w:val="center"/>
                              <w:rPr>
                                <w:rFonts w:ascii="仿宋" w:hAnsi="仿宋" w:eastAsia="仿宋"/>
                                <w:sz w:val="22"/>
                              </w:rPr>
                            </w:pPr>
                            <w:r>
                              <w:rPr>
                                <w:rFonts w:hint="eastAsia" w:ascii="仿宋" w:hAnsi="仿宋" w:eastAsia="仿宋"/>
                                <w:sz w:val="22"/>
                              </w:rPr>
                              <w:t>居民身份证复印件粘贴处</w:t>
                            </w:r>
                          </w:p>
                          <w:p w14:paraId="29C7762F">
                            <w:pPr>
                              <w:spacing w:line="360" w:lineRule="auto"/>
                              <w:jc w:val="center"/>
                              <w:rPr>
                                <w:rFonts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2" o:spid="_x0000_s1026" o:spt="1" style="position:absolute;left:0pt;margin-left:-1.35pt;margin-top:5.6pt;height:135.65pt;width:206.25pt;z-index:251662336;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d5BW1wAAAAkBAAAPAAAAAAAAAAEAIAAAACIAAABkcnMvZG93bnJldi54&#10;bWxQSwECFAAUAAAACACHTuJAFOp7MfsBAAA7BAAADgAAAAAAAAABACAAAAAmAQAAZHJzL2Uyb0Rv&#10;Yy54bWxQSwUGAAAAAAYABgBZAQAAkwUAAAAA&#10;">
                <v:fill on="t" focussize="0,0"/>
                <v:stroke color="#000000" joinstyle="miter"/>
                <v:imagedata o:title=""/>
                <o:lock v:ext="edit" aspectratio="f"/>
                <v:textbox>
                  <w:txbxContent>
                    <w:p w14:paraId="1D4D91D9">
                      <w:pPr>
                        <w:spacing w:line="360" w:lineRule="auto"/>
                        <w:ind w:firstLine="1260" w:firstLineChars="600"/>
                      </w:pPr>
                    </w:p>
                    <w:p w14:paraId="71ACF5C8">
                      <w:pPr>
                        <w:spacing w:line="360" w:lineRule="auto"/>
                        <w:jc w:val="center"/>
                        <w:rPr>
                          <w:rFonts w:ascii="仿宋" w:hAnsi="仿宋" w:eastAsia="仿宋"/>
                          <w:sz w:val="22"/>
                        </w:rPr>
                      </w:pPr>
                      <w:r>
                        <w:rPr>
                          <w:rFonts w:hint="eastAsia" w:ascii="仿宋" w:hAnsi="仿宋" w:eastAsia="仿宋"/>
                          <w:sz w:val="22"/>
                        </w:rPr>
                        <w:t>被授权人（授权代表）</w:t>
                      </w:r>
                    </w:p>
                    <w:p w14:paraId="6894EC96">
                      <w:pPr>
                        <w:spacing w:line="360" w:lineRule="auto"/>
                        <w:jc w:val="center"/>
                        <w:rPr>
                          <w:rFonts w:ascii="仿宋" w:hAnsi="仿宋" w:eastAsia="仿宋"/>
                          <w:sz w:val="22"/>
                        </w:rPr>
                      </w:pPr>
                      <w:r>
                        <w:rPr>
                          <w:rFonts w:hint="eastAsia" w:ascii="仿宋" w:hAnsi="仿宋" w:eastAsia="仿宋"/>
                          <w:sz w:val="22"/>
                        </w:rPr>
                        <w:t>居民身份证复印件粘贴处</w:t>
                      </w:r>
                    </w:p>
                    <w:p w14:paraId="29C7762F">
                      <w:pPr>
                        <w:spacing w:line="360" w:lineRule="auto"/>
                        <w:jc w:val="center"/>
                        <w:rPr>
                          <w:rFonts w:ascii="仿宋" w:hAnsi="仿宋" w:eastAsia="仿宋"/>
                          <w:sz w:val="22"/>
                        </w:rPr>
                      </w:pPr>
                      <w:r>
                        <w:rPr>
                          <w:rFonts w:hint="eastAsia" w:ascii="仿宋" w:hAnsi="仿宋" w:eastAsia="仿宋"/>
                          <w:sz w:val="22"/>
                        </w:rPr>
                        <w:t>（正面）</w:t>
                      </w:r>
                    </w:p>
                  </w:txbxContent>
                </v:textbox>
              </v:rect>
            </w:pict>
          </mc:Fallback>
        </mc:AlternateContent>
      </w:r>
      <w:r>
        <w:rPr>
          <w:rFonts w:cs="仿宋" w:asciiTheme="minorEastAsia" w:hAnsiTheme="minorEastAsia" w:eastAsiaTheme="minorEastAsia"/>
        </w:rPr>
        <mc:AlternateContent>
          <mc:Choice Requires="wps">
            <w:drawing>
              <wp:anchor distT="0" distB="0" distL="114300" distR="114300" simplePos="0" relativeHeight="251663360" behindDoc="0" locked="0" layoutInCell="1" allowOverlap="1">
                <wp:simplePos x="0" y="0"/>
                <wp:positionH relativeFrom="column">
                  <wp:posOffset>2821305</wp:posOffset>
                </wp:positionH>
                <wp:positionV relativeFrom="paragraph">
                  <wp:posOffset>71120</wp:posOffset>
                </wp:positionV>
                <wp:extent cx="2533650" cy="1722755"/>
                <wp:effectExtent l="4445" t="4445" r="14605" b="6350"/>
                <wp:wrapNone/>
                <wp:docPr id="6" name="Rectangle 3"/>
                <wp:cNvGraphicFramePr/>
                <a:graphic xmlns:a="http://schemas.openxmlformats.org/drawingml/2006/main">
                  <a:graphicData uri="http://schemas.microsoft.com/office/word/2010/wordprocessingShape">
                    <wps:wsp>
                      <wps:cNvSpPr/>
                      <wps:spPr>
                        <a:xfrm>
                          <a:off x="0" y="0"/>
                          <a:ext cx="2533650" cy="1722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6040882">
                            <w:pPr>
                              <w:spacing w:line="360" w:lineRule="auto"/>
                              <w:jc w:val="center"/>
                            </w:pPr>
                          </w:p>
                          <w:p w14:paraId="6E40A887">
                            <w:pPr>
                              <w:spacing w:line="360" w:lineRule="auto"/>
                              <w:jc w:val="center"/>
                              <w:rPr>
                                <w:rFonts w:ascii="仿宋" w:hAnsi="仿宋" w:eastAsia="仿宋"/>
                                <w:sz w:val="22"/>
                              </w:rPr>
                            </w:pPr>
                            <w:r>
                              <w:rPr>
                                <w:rFonts w:hint="eastAsia" w:ascii="仿宋" w:hAnsi="仿宋" w:eastAsia="仿宋"/>
                                <w:sz w:val="22"/>
                              </w:rPr>
                              <w:t>被授权人（授权代表）</w:t>
                            </w:r>
                          </w:p>
                          <w:p w14:paraId="0EADB23F">
                            <w:pPr>
                              <w:spacing w:line="360" w:lineRule="auto"/>
                              <w:jc w:val="center"/>
                              <w:rPr>
                                <w:rFonts w:ascii="仿宋" w:hAnsi="仿宋" w:eastAsia="仿宋"/>
                                <w:sz w:val="22"/>
                              </w:rPr>
                            </w:pPr>
                            <w:r>
                              <w:rPr>
                                <w:rFonts w:hint="eastAsia" w:ascii="仿宋" w:hAnsi="仿宋" w:eastAsia="仿宋"/>
                                <w:sz w:val="22"/>
                              </w:rPr>
                              <w:t>居民身份证复印件粘贴处</w:t>
                            </w:r>
                          </w:p>
                          <w:p w14:paraId="2DE6E122">
                            <w:pPr>
                              <w:spacing w:line="360" w:lineRule="auto"/>
                              <w:jc w:val="center"/>
                              <w:rPr>
                                <w:rFonts w:ascii="仿宋" w:hAnsi="仿宋" w:eastAsia="仿宋"/>
                              </w:rPr>
                            </w:pPr>
                            <w:r>
                              <w:rPr>
                                <w:rFonts w:hint="eastAsia" w:ascii="仿宋" w:hAnsi="仿宋" w:eastAsia="仿宋"/>
                                <w:sz w:val="22"/>
                              </w:rPr>
                              <w:t>（反面）</w:t>
                            </w:r>
                          </w:p>
                          <w:p w14:paraId="0F9B17A8"/>
                        </w:txbxContent>
                      </wps:txbx>
                      <wps:bodyPr upright="1"/>
                    </wps:wsp>
                  </a:graphicData>
                </a:graphic>
              </wp:anchor>
            </w:drawing>
          </mc:Choice>
          <mc:Fallback>
            <w:pict>
              <v:rect id="Rectangle 3" o:spid="_x0000_s1026" o:spt="1" style="position:absolute;left:0pt;margin-left:222.15pt;margin-top:5.6pt;height:135.65pt;width:199.5pt;z-index:251663360;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tOyHU1wAAAAoBAAAPAAAAAAAAAAEAIAAAACIAAABkcnMvZG93bnJldi54&#10;bWxQSwECFAAUAAAACACHTuJApfSqi/sBAAA7BAAADgAAAAAAAAABACAAAAAmAQAAZHJzL2Uyb0Rv&#10;Yy54bWxQSwUGAAAAAAYABgBZAQAAkwUAAAAA&#10;">
                <v:fill on="t" focussize="0,0"/>
                <v:stroke color="#000000" joinstyle="miter"/>
                <v:imagedata o:title=""/>
                <o:lock v:ext="edit" aspectratio="f"/>
                <v:textbox>
                  <w:txbxContent>
                    <w:p w14:paraId="06040882">
                      <w:pPr>
                        <w:spacing w:line="360" w:lineRule="auto"/>
                        <w:jc w:val="center"/>
                      </w:pPr>
                    </w:p>
                    <w:p w14:paraId="6E40A887">
                      <w:pPr>
                        <w:spacing w:line="360" w:lineRule="auto"/>
                        <w:jc w:val="center"/>
                        <w:rPr>
                          <w:rFonts w:ascii="仿宋" w:hAnsi="仿宋" w:eastAsia="仿宋"/>
                          <w:sz w:val="22"/>
                        </w:rPr>
                      </w:pPr>
                      <w:r>
                        <w:rPr>
                          <w:rFonts w:hint="eastAsia" w:ascii="仿宋" w:hAnsi="仿宋" w:eastAsia="仿宋"/>
                          <w:sz w:val="22"/>
                        </w:rPr>
                        <w:t>被授权人（授权代表）</w:t>
                      </w:r>
                    </w:p>
                    <w:p w14:paraId="0EADB23F">
                      <w:pPr>
                        <w:spacing w:line="360" w:lineRule="auto"/>
                        <w:jc w:val="center"/>
                        <w:rPr>
                          <w:rFonts w:ascii="仿宋" w:hAnsi="仿宋" w:eastAsia="仿宋"/>
                          <w:sz w:val="22"/>
                        </w:rPr>
                      </w:pPr>
                      <w:r>
                        <w:rPr>
                          <w:rFonts w:hint="eastAsia" w:ascii="仿宋" w:hAnsi="仿宋" w:eastAsia="仿宋"/>
                          <w:sz w:val="22"/>
                        </w:rPr>
                        <w:t>居民身份证复印件粘贴处</w:t>
                      </w:r>
                    </w:p>
                    <w:p w14:paraId="2DE6E122">
                      <w:pPr>
                        <w:spacing w:line="360" w:lineRule="auto"/>
                        <w:jc w:val="center"/>
                        <w:rPr>
                          <w:rFonts w:ascii="仿宋" w:hAnsi="仿宋" w:eastAsia="仿宋"/>
                        </w:rPr>
                      </w:pPr>
                      <w:r>
                        <w:rPr>
                          <w:rFonts w:hint="eastAsia" w:ascii="仿宋" w:hAnsi="仿宋" w:eastAsia="仿宋"/>
                          <w:sz w:val="22"/>
                        </w:rPr>
                        <w:t>（反面）</w:t>
                      </w:r>
                    </w:p>
                    <w:p w14:paraId="0F9B17A8"/>
                  </w:txbxContent>
                </v:textbox>
              </v:rect>
            </w:pict>
          </mc:Fallback>
        </mc:AlternateContent>
      </w:r>
      <w:bookmarkEnd w:id="5"/>
    </w:p>
    <w:p w14:paraId="5F8FCD03">
      <w:pPr>
        <w:spacing w:line="360" w:lineRule="auto"/>
        <w:rPr>
          <w:rFonts w:cs="仿宋" w:asciiTheme="minorEastAsia" w:hAnsiTheme="minorEastAsia" w:eastAsiaTheme="minorEastAsia"/>
        </w:rPr>
      </w:pPr>
    </w:p>
    <w:p w14:paraId="7488759D">
      <w:pPr>
        <w:spacing w:line="360" w:lineRule="auto"/>
        <w:rPr>
          <w:rFonts w:cs="仿宋" w:asciiTheme="minorEastAsia" w:hAnsiTheme="minorEastAsia" w:eastAsiaTheme="minorEastAsia"/>
        </w:rPr>
      </w:pPr>
    </w:p>
    <w:p w14:paraId="604EE6F8">
      <w:pPr>
        <w:spacing w:line="360" w:lineRule="auto"/>
        <w:rPr>
          <w:rFonts w:cs="仿宋" w:asciiTheme="minorEastAsia" w:hAnsiTheme="minorEastAsia" w:eastAsiaTheme="minorEastAsia"/>
        </w:rPr>
      </w:pPr>
    </w:p>
    <w:p w14:paraId="3BD373BA">
      <w:pPr>
        <w:spacing w:line="360" w:lineRule="auto"/>
        <w:rPr>
          <w:rFonts w:cs="仿宋" w:asciiTheme="minorEastAsia" w:hAnsiTheme="minorEastAsia" w:eastAsiaTheme="minorEastAsia"/>
        </w:rPr>
      </w:pPr>
    </w:p>
    <w:p w14:paraId="2C173BB1">
      <w:pPr>
        <w:tabs>
          <w:tab w:val="left" w:pos="5115"/>
        </w:tabs>
        <w:spacing w:line="360" w:lineRule="auto"/>
        <w:rPr>
          <w:rFonts w:cs="仿宋" w:asciiTheme="minorEastAsia" w:hAnsiTheme="minorEastAsia" w:eastAsiaTheme="minorEastAsia"/>
        </w:rPr>
      </w:pPr>
      <w:r>
        <w:rPr>
          <w:rFonts w:hint="eastAsia" w:cs="仿宋" w:asciiTheme="minorEastAsia" w:hAnsiTheme="minorEastAsia" w:eastAsiaTheme="minorEastAsia"/>
        </w:rPr>
        <w:tab/>
      </w:r>
    </w:p>
    <w:p w14:paraId="2A4C69A7">
      <w:pPr>
        <w:spacing w:line="360" w:lineRule="auto"/>
        <w:rPr>
          <w:rFonts w:cs="仿宋" w:asciiTheme="minorEastAsia" w:hAnsiTheme="minorEastAsia" w:eastAsiaTheme="minorEastAsia"/>
        </w:rPr>
      </w:pPr>
    </w:p>
    <w:p w14:paraId="7474686F">
      <w:pPr>
        <w:adjustRightInd w:val="0"/>
        <w:snapToGrid w:val="0"/>
        <w:spacing w:line="360" w:lineRule="auto"/>
        <w:ind w:firstLine="5008" w:firstLineChars="2385"/>
        <w:rPr>
          <w:rFonts w:cs="仿宋" w:asciiTheme="minorEastAsia" w:hAnsiTheme="minorEastAsia" w:eastAsiaTheme="minorEastAsia"/>
        </w:rPr>
      </w:pPr>
    </w:p>
    <w:p w14:paraId="08148DD4">
      <w:pPr>
        <w:ind w:left="433" w:hanging="433" w:hangingChars="196"/>
        <w:rPr>
          <w:rFonts w:cs="仿宋" w:asciiTheme="minorEastAsia" w:hAnsiTheme="minorEastAsia" w:eastAsiaTheme="minorEastAsia"/>
          <w:color w:val="FF0000"/>
          <w:sz w:val="22"/>
        </w:rPr>
      </w:pPr>
      <w:r>
        <w:rPr>
          <w:rFonts w:hint="eastAsia" w:cs="仿宋" w:asciiTheme="minorEastAsia" w:hAnsiTheme="minorEastAsia" w:eastAsiaTheme="minorEastAsia"/>
          <w:b/>
          <w:color w:val="FF0000"/>
          <w:sz w:val="22"/>
        </w:rPr>
        <w:t>注：</w:t>
      </w:r>
      <w:r>
        <w:rPr>
          <w:rFonts w:hint="eastAsia" w:cs="仿宋" w:asciiTheme="minorEastAsia" w:hAnsiTheme="minorEastAsia" w:eastAsiaTheme="minorEastAsia"/>
          <w:b/>
          <w:bCs/>
          <w:color w:val="FF0000"/>
          <w:sz w:val="22"/>
        </w:rPr>
        <w:t>法定代表人（负责人）授权委托书</w:t>
      </w:r>
      <w:r>
        <w:rPr>
          <w:rFonts w:hint="eastAsia" w:cs="仿宋" w:asciiTheme="minorEastAsia" w:hAnsiTheme="minorEastAsia" w:eastAsiaTheme="minorEastAsia"/>
          <w:b/>
          <w:color w:val="FF0000"/>
          <w:sz w:val="22"/>
        </w:rPr>
        <w:t>除装订于投标文件中外，还须另置一份按“投标须知”18.5项要求单独密封</w:t>
      </w:r>
    </w:p>
    <w:p w14:paraId="1C9DAD1E">
      <w:pPr>
        <w:widowControl/>
        <w:jc w:val="center"/>
        <w:rPr>
          <w:rFonts w:cs="仿宋" w:asciiTheme="minorEastAsia" w:hAnsiTheme="minorEastAsia" w:eastAsiaTheme="minorEastAsia"/>
        </w:rPr>
      </w:pPr>
      <w:r>
        <w:rPr>
          <w:rFonts w:hint="eastAsia" w:cs="仿宋" w:asciiTheme="minorEastAsia" w:hAnsiTheme="minorEastAsia" w:eastAsiaTheme="minorEastAsia"/>
          <w:b/>
          <w:sz w:val="32"/>
          <w:szCs w:val="36"/>
        </w:rPr>
        <w:t xml:space="preserve"> </w:t>
      </w:r>
    </w:p>
    <w:p w14:paraId="76511C3F">
      <w:pPr>
        <w:jc w:val="center"/>
        <w:rPr>
          <w:rFonts w:cs="仿宋" w:asciiTheme="minorEastAsia" w:hAnsiTheme="minorEastAsia" w:eastAsiaTheme="minorEastAsia"/>
          <w:b/>
          <w:sz w:val="32"/>
          <w:szCs w:val="36"/>
        </w:rPr>
      </w:pPr>
      <w:r>
        <w:rPr>
          <w:rFonts w:hint="eastAsia" w:cs="仿宋" w:asciiTheme="minorEastAsia" w:hAnsiTheme="minorEastAsia" w:eastAsiaTheme="minorEastAsia"/>
        </w:rPr>
        <w:br w:type="page"/>
      </w:r>
      <w:r>
        <w:rPr>
          <w:rFonts w:hint="eastAsia" w:cs="仿宋" w:asciiTheme="minorEastAsia" w:hAnsiTheme="minorEastAsia" w:eastAsiaTheme="minorEastAsia"/>
          <w:b/>
          <w:sz w:val="32"/>
          <w:szCs w:val="36"/>
        </w:rPr>
        <w:t>格式3  评分中涉及的承诺及声明函</w:t>
      </w:r>
    </w:p>
    <w:p w14:paraId="3DDC7079">
      <w:pPr>
        <w:widowControl/>
        <w:snapToGrid w:val="0"/>
        <w:spacing w:line="360" w:lineRule="auto"/>
        <w:jc w:val="left"/>
        <w:outlineLvl w:val="4"/>
        <w:rPr>
          <w:rFonts w:ascii="仿宋" w:hAnsi="仿宋" w:eastAsia="仿宋"/>
          <w:b/>
          <w:bCs/>
          <w:color w:val="FF0000"/>
          <w:kern w:val="0"/>
          <w:sz w:val="25"/>
          <w:szCs w:val="25"/>
        </w:rPr>
      </w:pPr>
    </w:p>
    <w:p w14:paraId="6202281F">
      <w:pPr>
        <w:widowControl/>
        <w:snapToGrid w:val="0"/>
        <w:spacing w:line="360" w:lineRule="auto"/>
        <w:jc w:val="left"/>
        <w:outlineLvl w:val="4"/>
        <w:rPr>
          <w:rFonts w:ascii="仿宋" w:hAnsi="仿宋" w:eastAsia="仿宋"/>
          <w:b/>
          <w:bCs/>
          <w:kern w:val="0"/>
          <w:sz w:val="25"/>
          <w:szCs w:val="25"/>
        </w:rPr>
      </w:pPr>
      <w:r>
        <w:rPr>
          <w:rFonts w:hint="eastAsia" w:ascii="仿宋" w:hAnsi="仿宋" w:eastAsia="仿宋"/>
          <w:b/>
          <w:bCs/>
          <w:kern w:val="0"/>
          <w:sz w:val="25"/>
          <w:szCs w:val="25"/>
        </w:rPr>
        <w:t>填写指引：</w:t>
      </w:r>
    </w:p>
    <w:p w14:paraId="3D4F9223">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1、该部分内容由投标供应商根据自身实际情况填写，投标供应商提供的声明函不属实的，属于提供虚假资料谋取中标，依照《中华人民共和国政府采购法》等国家有关规定追究相应责任。</w:t>
      </w:r>
    </w:p>
    <w:p w14:paraId="173C2008">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w:t>
      </w:r>
    </w:p>
    <w:p w14:paraId="44359643">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431F7295">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 w:name="_Hlk71925120"/>
      <w:r>
        <w:rPr>
          <w:rFonts w:hint="eastAsia" w:asciiTheme="minorEastAsia" w:hAnsiTheme="minorEastAsia" w:eastAsiaTheme="minorEastAsia"/>
          <w:kern w:val="0"/>
          <w:szCs w:val="21"/>
        </w:rPr>
        <w:t>《关于印发中小企业划型标准规定的通知》（工信部联企业〔2011〕300 号</w:t>
      </w:r>
      <w:bookmarkEnd w:id="6"/>
      <w:r>
        <w:rPr>
          <w:rFonts w:hint="eastAsia" w:asciiTheme="minorEastAsia" w:hAnsiTheme="minorEastAsia" w:eastAsiaTheme="minorEastAsia"/>
          <w:kern w:val="0"/>
          <w:szCs w:val="21"/>
        </w:rPr>
        <w:t>）</w:t>
      </w:r>
    </w:p>
    <w:p w14:paraId="67167B0D">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1294FF2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395E372">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01345E1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3、请依照征集文件提供的格式和内容填写声明函，不要随意变更格式；满足多项优惠政策的投标供应商，不重复享受多项价格扣除政策。不符合要求的供应商可以不填写。</w:t>
      </w:r>
    </w:p>
    <w:p w14:paraId="0AF1340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592E07F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7CDA2D5C">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178BBFBC">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（具体详见征集项目需求，如涉及多项标的，投标供应商需逐项进行响应）</w:t>
      </w:r>
      <w:r>
        <w:rPr>
          <w:rFonts w:hint="eastAsia" w:asciiTheme="minorEastAsia" w:hAnsiTheme="minorEastAsia" w:eastAsiaTheme="minorEastAsia"/>
          <w:kern w:val="0"/>
          <w:szCs w:val="21"/>
        </w:rPr>
        <w:t>；</w:t>
      </w:r>
    </w:p>
    <w:p w14:paraId="2C143B11">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（详见评审信息）</w:t>
      </w:r>
      <w:r>
        <w:rPr>
          <w:rFonts w:hint="eastAsia" w:asciiTheme="minorEastAsia" w:hAnsiTheme="minorEastAsia" w:eastAsiaTheme="minorEastAsia"/>
          <w:kern w:val="0"/>
          <w:szCs w:val="21"/>
        </w:rPr>
        <w:t>；</w:t>
      </w:r>
    </w:p>
    <w:p w14:paraId="5602C07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56CBB982">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61A9CA94">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315EFB32">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rPr>
        <w:t>《中小企业声明函》中制造商、承接/承建企业所属行业应当与招标文件要求的行业相一致</w:t>
      </w:r>
      <w:r>
        <w:rPr>
          <w:rFonts w:hint="eastAsia" w:asciiTheme="minorHAnsi" w:hAnsiTheme="minorHAnsi" w:eastAsiaTheme="minorEastAsia" w:cstheme="minorBidi"/>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798BDF99">
      <w:pPr>
        <w:widowControl/>
        <w:snapToGrid w:val="0"/>
        <w:spacing w:line="360" w:lineRule="auto"/>
        <w:ind w:firstLine="424" w:firstLineChars="202"/>
        <w:jc w:val="left"/>
        <w:rPr>
          <w:rFonts w:asciiTheme="minorEastAsia" w:hAnsiTheme="minorEastAsia" w:eastAsiaTheme="minorEastAsia"/>
          <w:kern w:val="0"/>
          <w:szCs w:val="21"/>
        </w:rPr>
      </w:pPr>
    </w:p>
    <w:p w14:paraId="780B6743">
      <w:pPr>
        <w:widowControl/>
        <w:jc w:val="left"/>
        <w:rPr>
          <w:rFonts w:cs="仿宋" w:asciiTheme="minorEastAsia" w:hAnsiTheme="minorEastAsia" w:eastAsiaTheme="minorEastAsia"/>
        </w:rPr>
      </w:pPr>
    </w:p>
    <w:p w14:paraId="60576E46">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中小企业声明函</w:t>
      </w:r>
    </w:p>
    <w:p w14:paraId="01A35F8C">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本公司（联合体）郑重声明，根据《政府采购促进中小企业发展管理办法》（财库﹝2020﹞46 号）的规定，本公司（联合体）参加（</w:t>
      </w:r>
      <w:r>
        <w:rPr>
          <w:rFonts w:hint="eastAsia" w:cs="仿宋" w:asciiTheme="minorEastAsia" w:hAnsiTheme="minorEastAsia" w:eastAsiaTheme="minorEastAsia"/>
          <w:snapToGrid w:val="0"/>
          <w:szCs w:val="18"/>
          <w:u w:val="single"/>
        </w:rPr>
        <w:t>单位名称</w:t>
      </w:r>
      <w:r>
        <w:rPr>
          <w:rFonts w:hint="eastAsia" w:cs="仿宋" w:asciiTheme="minorEastAsia" w:hAnsiTheme="minorEastAsia" w:eastAsiaTheme="minorEastAsia"/>
          <w:snapToGrid w:val="0"/>
          <w:szCs w:val="18"/>
        </w:rPr>
        <w:t>）的（</w:t>
      </w:r>
      <w:r>
        <w:rPr>
          <w:rFonts w:hint="eastAsia" w:cs="仿宋" w:asciiTheme="minorEastAsia" w:hAnsiTheme="minorEastAsia" w:eastAsiaTheme="minorEastAsia"/>
          <w:snapToGrid w:val="0"/>
          <w:szCs w:val="18"/>
          <w:u w:val="single"/>
        </w:rPr>
        <w:t>项目名称</w:t>
      </w:r>
      <w:r>
        <w:rPr>
          <w:rFonts w:hint="eastAsia" w:cs="仿宋" w:asciiTheme="minorEastAsia" w:hAnsiTheme="minorEastAsia" w:eastAsiaTheme="minorEastAsia"/>
          <w:snapToGrid w:val="0"/>
          <w:szCs w:val="18"/>
        </w:rPr>
        <w:t>）采购活动，服务全部由符合政策要求的中小企业承接。相关企业（含联合体中的中小企业、签订分包意向协议的中小企业）的具体情况如下：</w:t>
      </w:r>
    </w:p>
    <w:p w14:paraId="182CC31D">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1、（</w:t>
      </w:r>
      <w:r>
        <w:rPr>
          <w:rFonts w:hint="eastAsia" w:cs="仿宋" w:asciiTheme="minorEastAsia" w:hAnsiTheme="minorEastAsia" w:eastAsiaTheme="minorEastAsia"/>
          <w:snapToGrid w:val="0"/>
          <w:szCs w:val="18"/>
          <w:u w:val="single"/>
        </w:rPr>
        <w:t>标的名称</w:t>
      </w:r>
      <w:r>
        <w:rPr>
          <w:rFonts w:hint="eastAsia" w:cs="仿宋" w:asciiTheme="minorEastAsia" w:hAnsiTheme="minorEastAsia" w:eastAsiaTheme="minorEastAsia"/>
          <w:snapToGrid w:val="0"/>
          <w:szCs w:val="18"/>
        </w:rPr>
        <w:t>），属于（</w:t>
      </w:r>
      <w:r>
        <w:rPr>
          <w:rFonts w:hint="eastAsia" w:cs="仿宋" w:asciiTheme="minorEastAsia" w:hAnsiTheme="minorEastAsia" w:eastAsiaTheme="minorEastAsia"/>
          <w:snapToGrid w:val="0"/>
          <w:szCs w:val="18"/>
          <w:u w:val="single"/>
        </w:rPr>
        <w:t>采购文件中明确的所属行业</w:t>
      </w:r>
      <w:r>
        <w:rPr>
          <w:rFonts w:hint="eastAsia" w:cs="仿宋" w:asciiTheme="minorEastAsia" w:hAnsiTheme="minorEastAsia" w:eastAsiaTheme="minorEastAsia"/>
          <w:snapToGrid w:val="0"/>
          <w:szCs w:val="18"/>
        </w:rPr>
        <w:t>）；承接企业为（</w:t>
      </w:r>
      <w:r>
        <w:rPr>
          <w:rFonts w:hint="eastAsia" w:cs="仿宋" w:asciiTheme="minorEastAsia" w:hAnsiTheme="minorEastAsia" w:eastAsiaTheme="minorEastAsia"/>
          <w:snapToGrid w:val="0"/>
          <w:szCs w:val="18"/>
          <w:u w:val="single"/>
        </w:rPr>
        <w:t>企业名称</w:t>
      </w:r>
      <w:r>
        <w:rPr>
          <w:rFonts w:hint="eastAsia" w:cs="仿宋" w:asciiTheme="minorEastAsia" w:hAnsiTheme="minorEastAsia" w:eastAsiaTheme="minorEastAsia"/>
          <w:snapToGrid w:val="0"/>
          <w:szCs w:val="18"/>
        </w:rPr>
        <w:t>），从业人员</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人，营业收入为</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万元，资产总额为</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万元，属于（</w:t>
      </w:r>
      <w:r>
        <w:rPr>
          <w:rFonts w:hint="eastAsia" w:cs="仿宋" w:asciiTheme="minorEastAsia" w:hAnsiTheme="minorEastAsia" w:eastAsiaTheme="minorEastAsia"/>
          <w:snapToGrid w:val="0"/>
          <w:szCs w:val="18"/>
          <w:u w:val="single"/>
        </w:rPr>
        <w:t>中型企业、小型企业、微型企业</w:t>
      </w:r>
      <w:r>
        <w:rPr>
          <w:rFonts w:hint="eastAsia" w:cs="仿宋" w:asciiTheme="minorEastAsia" w:hAnsiTheme="minorEastAsia" w:eastAsiaTheme="minorEastAsia"/>
          <w:snapToGrid w:val="0"/>
          <w:szCs w:val="18"/>
        </w:rPr>
        <w:t>）；</w:t>
      </w:r>
    </w:p>
    <w:p w14:paraId="58B61C55">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2、（</w:t>
      </w:r>
      <w:r>
        <w:rPr>
          <w:rFonts w:hint="eastAsia" w:cs="仿宋" w:asciiTheme="minorEastAsia" w:hAnsiTheme="minorEastAsia" w:eastAsiaTheme="minorEastAsia"/>
          <w:snapToGrid w:val="0"/>
          <w:szCs w:val="18"/>
          <w:u w:val="single"/>
        </w:rPr>
        <w:t>标的名称</w:t>
      </w:r>
      <w:r>
        <w:rPr>
          <w:rFonts w:hint="eastAsia" w:cs="仿宋" w:asciiTheme="minorEastAsia" w:hAnsiTheme="minorEastAsia" w:eastAsiaTheme="minorEastAsia"/>
          <w:snapToGrid w:val="0"/>
          <w:szCs w:val="18"/>
        </w:rPr>
        <w:t>），属于（</w:t>
      </w:r>
      <w:r>
        <w:rPr>
          <w:rFonts w:hint="eastAsia" w:cs="仿宋" w:asciiTheme="minorEastAsia" w:hAnsiTheme="minorEastAsia" w:eastAsiaTheme="minorEastAsia"/>
          <w:snapToGrid w:val="0"/>
          <w:szCs w:val="18"/>
          <w:u w:val="single"/>
        </w:rPr>
        <w:t>采购文件中明确的所属行业</w:t>
      </w:r>
      <w:r>
        <w:rPr>
          <w:rFonts w:hint="eastAsia" w:cs="仿宋" w:asciiTheme="minorEastAsia" w:hAnsiTheme="minorEastAsia" w:eastAsiaTheme="minorEastAsia"/>
          <w:snapToGrid w:val="0"/>
          <w:szCs w:val="18"/>
        </w:rPr>
        <w:t>）；承接企业为（</w:t>
      </w:r>
      <w:r>
        <w:rPr>
          <w:rFonts w:hint="eastAsia" w:cs="仿宋" w:asciiTheme="minorEastAsia" w:hAnsiTheme="minorEastAsia" w:eastAsiaTheme="minorEastAsia"/>
          <w:snapToGrid w:val="0"/>
          <w:szCs w:val="18"/>
          <w:u w:val="single"/>
        </w:rPr>
        <w:t>企业名称</w:t>
      </w:r>
      <w:r>
        <w:rPr>
          <w:rFonts w:hint="eastAsia" w:cs="仿宋" w:asciiTheme="minorEastAsia" w:hAnsiTheme="minorEastAsia" w:eastAsiaTheme="minorEastAsia"/>
          <w:snapToGrid w:val="0"/>
          <w:szCs w:val="18"/>
        </w:rPr>
        <w:t>），从业人员</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人，营业收入为</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万元，资产总额为</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万元，属于（</w:t>
      </w:r>
      <w:r>
        <w:rPr>
          <w:rFonts w:hint="eastAsia" w:cs="仿宋" w:asciiTheme="minorEastAsia" w:hAnsiTheme="minorEastAsia" w:eastAsiaTheme="minorEastAsia"/>
          <w:snapToGrid w:val="0"/>
          <w:szCs w:val="18"/>
          <w:u w:val="single"/>
        </w:rPr>
        <w:t>中型企业、小型企业、微型企业</w:t>
      </w:r>
      <w:r>
        <w:rPr>
          <w:rFonts w:hint="eastAsia" w:cs="仿宋" w:asciiTheme="minorEastAsia" w:hAnsiTheme="minorEastAsia" w:eastAsiaTheme="minorEastAsia"/>
          <w:snapToGrid w:val="0"/>
          <w:szCs w:val="18"/>
        </w:rPr>
        <w:t>）；</w:t>
      </w:r>
    </w:p>
    <w:p w14:paraId="2A8B28FF">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w:t>
      </w:r>
    </w:p>
    <w:p w14:paraId="7701C929">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以上企业，不属于大企业的分支机构，不存在控股股东为大企业的情形，也不存在与大企业的负责人为同一人的情形。</w:t>
      </w:r>
    </w:p>
    <w:p w14:paraId="0AB49550">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本公司对上述声明的真实性负责。如有虚假，将依法承担相应责任。</w:t>
      </w:r>
    </w:p>
    <w:p w14:paraId="46799642">
      <w:pPr>
        <w:spacing w:after="120"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025B86CA">
      <w:pPr>
        <w:spacing w:line="360" w:lineRule="auto"/>
        <w:ind w:firstLine="420" w:firstLineChars="200"/>
        <w:jc w:val="righ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企业名称(公章)：</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w:t>
      </w:r>
    </w:p>
    <w:p w14:paraId="259A3337">
      <w:pPr>
        <w:jc w:val="right"/>
        <w:rPr>
          <w:rFonts w:cs="仿宋" w:asciiTheme="minorEastAsia" w:hAnsiTheme="minorEastAsia" w:eastAsiaTheme="minorEastAsia"/>
        </w:rPr>
      </w:pPr>
      <w:r>
        <w:rPr>
          <w:rFonts w:hint="eastAsia" w:cs="仿宋" w:asciiTheme="minorEastAsia" w:hAnsiTheme="minorEastAsia" w:eastAsiaTheme="minorEastAsia"/>
          <w:snapToGrid w:val="0"/>
          <w:szCs w:val="18"/>
        </w:rPr>
        <w:t>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29603AFF">
      <w:pPr>
        <w:rPr>
          <w:rFonts w:cs="仿宋" w:asciiTheme="minorEastAsia" w:hAnsiTheme="minorEastAsia" w:eastAsiaTheme="minorEastAsia"/>
          <w:snapToGrid w:val="0"/>
          <w:szCs w:val="18"/>
        </w:rPr>
      </w:pPr>
    </w:p>
    <w:p w14:paraId="41348CBC">
      <w:pPr>
        <w:spacing w:line="360" w:lineRule="exact"/>
        <w:rPr>
          <w:rFonts w:cs="仿宋" w:asciiTheme="minorEastAsia" w:hAnsiTheme="minorEastAsia" w:eastAsiaTheme="minorEastAsia"/>
          <w:snapToGrid w:val="0"/>
          <w:szCs w:val="18"/>
        </w:rPr>
      </w:pPr>
      <w:r>
        <w:rPr>
          <w:rFonts w:hint="eastAsia" w:cs="仿宋" w:asciiTheme="minorEastAsia" w:hAnsiTheme="minorEastAsia" w:eastAsiaTheme="minorEastAsia"/>
          <w:b/>
          <w:snapToGrid w:val="0"/>
          <w:color w:val="FF0000"/>
          <w:szCs w:val="18"/>
        </w:rPr>
        <w:t>备注：</w:t>
      </w:r>
      <w:r>
        <w:rPr>
          <w:rFonts w:hint="eastAsia" w:cs="仿宋" w:asciiTheme="minorEastAsia" w:hAnsiTheme="minorEastAsia" w:eastAsiaTheme="minorEastAsia"/>
          <w:snapToGrid w:val="0"/>
          <w:szCs w:val="18"/>
        </w:rPr>
        <w:t>1、填写前请认真阅读《工业和信息化部、国家统计局、国家发展和改革委员会、财政部关于印发中小企业划型标准规定的通知》(工信部联企业〔2011〕300号)和《财政部 工业和信息化部关于印发《政府采购促进中小企业发展管理办法》的通知》(财库〔2020〕46号)相关规定。</w:t>
      </w:r>
    </w:p>
    <w:p w14:paraId="5793A72B">
      <w:pPr>
        <w:spacing w:line="360" w:lineRule="exact"/>
        <w:ind w:firstLine="424" w:firstLineChars="202"/>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2、从业人员、营业收入、资产总额填报上一年度数据，无上一年度数据的新成立企业可不填报。</w:t>
      </w:r>
    </w:p>
    <w:p w14:paraId="7FB49F6D">
      <w:pPr>
        <w:spacing w:line="360" w:lineRule="exact"/>
        <w:ind w:firstLine="424" w:firstLineChars="202"/>
        <w:rPr>
          <w:rFonts w:asciiTheme="minorEastAsia" w:hAnsiTheme="minorEastAsia" w:eastAsiaTheme="minorEastAsia" w:cstheme="minorBidi"/>
        </w:rPr>
      </w:pPr>
      <w:r>
        <w:rPr>
          <w:rFonts w:hint="eastAsia" w:asciiTheme="minorEastAsia" w:hAnsiTheme="minorEastAsia" w:eastAsiaTheme="minorEastAsia" w:cstheme="minorBidi"/>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rPr>
        <w:t>《中小企业声明函》中相关企业所属行业应当与采购标的所属行业相一致</w:t>
      </w:r>
      <w:r>
        <w:rPr>
          <w:rFonts w:hint="eastAsia" w:asciiTheme="minorEastAsia" w:hAnsiTheme="minorEastAsia" w:eastAsiaTheme="minorEastAsia" w:cstheme="minorBidi"/>
        </w:rPr>
        <w:t>。</w:t>
      </w:r>
    </w:p>
    <w:p w14:paraId="30C0BAEA">
      <w:pPr>
        <w:widowControl/>
        <w:jc w:val="left"/>
        <w:rPr>
          <w:rFonts w:cs="仿宋" w:asciiTheme="minorEastAsia" w:hAnsiTheme="minorEastAsia" w:eastAsiaTheme="minorEastAsia"/>
          <w:b/>
          <w:sz w:val="32"/>
          <w:szCs w:val="32"/>
        </w:rPr>
      </w:pPr>
    </w:p>
    <w:p w14:paraId="4FDDB3F0">
      <w:pPr>
        <w:jc w:val="center"/>
        <w:rPr>
          <w:rFonts w:cs="仿宋" w:asciiTheme="minorEastAsia" w:hAnsiTheme="minorEastAsia" w:eastAsiaTheme="minorEastAsia"/>
          <w:snapToGrid w:val="0"/>
          <w:szCs w:val="18"/>
        </w:rPr>
      </w:pPr>
      <w:r>
        <w:rPr>
          <w:rFonts w:hint="eastAsia" w:cs="仿宋" w:asciiTheme="minorEastAsia" w:hAnsiTheme="minorEastAsia" w:eastAsiaTheme="minorEastAsia"/>
          <w:b/>
          <w:sz w:val="32"/>
          <w:szCs w:val="32"/>
        </w:rPr>
        <w:t>监狱企业声明函</w:t>
      </w:r>
    </w:p>
    <w:p w14:paraId="7A8A0078">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099914B">
      <w:pPr>
        <w:ind w:firstLine="420" w:firstLineChars="200"/>
        <w:rPr>
          <w:rFonts w:cs="仿宋" w:asciiTheme="minorEastAsia" w:hAnsiTheme="minorEastAsia" w:eastAsiaTheme="minorEastAsia"/>
          <w:snapToGrid w:val="0"/>
          <w:szCs w:val="18"/>
        </w:rPr>
      </w:pPr>
      <w:r>
        <w:rPr>
          <w:rFonts w:hint="eastAsia" w:ascii="宋体" w:hAnsi="宋体"/>
          <w:szCs w:val="21"/>
        </w:rPr>
        <w:t>本单位对上述声明的真实性负责。如有虚假，将依法承担相应责任</w:t>
      </w:r>
      <w:r>
        <w:rPr>
          <w:rFonts w:hint="eastAsia" w:cs="仿宋" w:asciiTheme="minorEastAsia" w:hAnsiTheme="minorEastAsia" w:eastAsiaTheme="minorEastAsia"/>
          <w:snapToGrid w:val="0"/>
          <w:szCs w:val="18"/>
        </w:rPr>
        <w:t>。</w:t>
      </w:r>
    </w:p>
    <w:p w14:paraId="77FA5BDB">
      <w:pPr>
        <w:pStyle w:val="19"/>
        <w:ind w:firstLine="210"/>
      </w:pPr>
    </w:p>
    <w:p w14:paraId="7F9840F9">
      <w:pPr>
        <w:spacing w:line="360" w:lineRule="auto"/>
        <w:ind w:firstLine="420" w:firstLineChars="200"/>
        <w:jc w:val="right"/>
        <w:rPr>
          <w:rFonts w:cs="仿宋" w:asciiTheme="minorEastAsia" w:hAnsiTheme="minorEastAsia" w:eastAsiaTheme="minorEastAsia"/>
          <w:snapToGrid w:val="0"/>
          <w:szCs w:val="18"/>
        </w:rPr>
      </w:pPr>
      <w:r>
        <w:rPr>
          <w:rFonts w:hint="eastAsia" w:ascii="宋体" w:hAnsi="宋体"/>
          <w:szCs w:val="21"/>
        </w:rPr>
        <w:t>单位名称</w:t>
      </w:r>
      <w:r>
        <w:rPr>
          <w:rFonts w:hint="eastAsia" w:cs="仿宋" w:asciiTheme="minorEastAsia" w:hAnsiTheme="minorEastAsia" w:eastAsiaTheme="minorEastAsia"/>
          <w:snapToGrid w:val="0"/>
          <w:szCs w:val="18"/>
        </w:rPr>
        <w:t>(公章)：</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w:t>
      </w:r>
    </w:p>
    <w:p w14:paraId="15626AC1">
      <w:pPr>
        <w:ind w:firstLine="420" w:firstLineChars="200"/>
        <w:jc w:val="righ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4870DE2D">
      <w:pPr>
        <w:ind w:firstLine="420" w:firstLineChars="200"/>
        <w:rPr>
          <w:rFonts w:cs="仿宋" w:asciiTheme="minorEastAsia" w:hAnsiTheme="minorEastAsia" w:eastAsiaTheme="minorEastAsia"/>
          <w:snapToGrid w:val="0"/>
          <w:szCs w:val="18"/>
        </w:rPr>
      </w:pPr>
    </w:p>
    <w:p w14:paraId="6EE96035">
      <w:pPr>
        <w:ind w:firstLine="422" w:firstLineChars="200"/>
        <w:rPr>
          <w:rFonts w:cs="仿宋" w:asciiTheme="minorEastAsia" w:hAnsiTheme="minorEastAsia" w:eastAsiaTheme="minorEastAsia"/>
          <w:b/>
          <w:snapToGrid w:val="0"/>
          <w:szCs w:val="18"/>
        </w:rPr>
      </w:pPr>
      <w:r>
        <w:rPr>
          <w:rFonts w:hint="eastAsia" w:cs="仿宋" w:asciiTheme="minorEastAsia" w:hAnsiTheme="minorEastAsia" w:eastAsiaTheme="minorEastAsia"/>
          <w:b/>
          <w:snapToGrid w:val="0"/>
          <w:szCs w:val="18"/>
        </w:rPr>
        <w:t>附：省级以上监狱管理局、戒毒管理局（含新疆生产建设兵团）出具的监狱企业证明文件。</w:t>
      </w:r>
    </w:p>
    <w:p w14:paraId="57B81F48">
      <w:pPr>
        <w:ind w:firstLine="420" w:firstLineChars="200"/>
        <w:rPr>
          <w:rFonts w:cs="仿宋" w:asciiTheme="minorEastAsia" w:hAnsiTheme="minorEastAsia" w:eastAsiaTheme="minorEastAsia"/>
          <w:snapToGrid w:val="0"/>
          <w:szCs w:val="18"/>
        </w:rPr>
      </w:pPr>
    </w:p>
    <w:p w14:paraId="0C060787">
      <w:pPr>
        <w:spacing w:line="360" w:lineRule="auto"/>
        <w:ind w:firstLine="422"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b/>
          <w:snapToGrid w:val="0"/>
          <w:color w:val="FF0000"/>
          <w:szCs w:val="18"/>
        </w:rPr>
        <w:t>备注：</w:t>
      </w:r>
      <w:r>
        <w:rPr>
          <w:rFonts w:hint="eastAsia" w:cs="仿宋" w:asciiTheme="minorEastAsia" w:hAnsiTheme="minorEastAsia" w:eastAsiaTheme="minorEastAsia"/>
          <w:snapToGrid w:val="0"/>
          <w:szCs w:val="18"/>
        </w:rPr>
        <w:t>填写前请认真阅读《财政部 司法部关于政府采购支持监狱企业发展有关问题的通知》（财库〔2014〕68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C0CD9BE">
      <w:pPr>
        <w:widowControl/>
        <w:jc w:val="left"/>
        <w:rPr>
          <w:rFonts w:cs="仿宋" w:asciiTheme="minorEastAsia" w:hAnsiTheme="minorEastAsia" w:eastAsiaTheme="minorEastAsia"/>
          <w:b/>
          <w:sz w:val="32"/>
          <w:szCs w:val="32"/>
        </w:rPr>
      </w:pPr>
    </w:p>
    <w:p w14:paraId="7EEE2541">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残疾人福利性单位声明函</w:t>
      </w:r>
    </w:p>
    <w:p w14:paraId="5D9C06ED">
      <w:pPr>
        <w:spacing w:line="360" w:lineRule="auto"/>
        <w:ind w:firstLine="420" w:firstLineChars="200"/>
        <w:rPr>
          <w:rFonts w:cs="仿宋" w:asciiTheme="minorEastAsia" w:hAnsiTheme="minorEastAsia" w:eastAsiaTheme="minorEastAsia"/>
          <w:snapToGrid w:val="0"/>
          <w:szCs w:val="18"/>
        </w:rPr>
      </w:pPr>
    </w:p>
    <w:p w14:paraId="3E9EB8C9">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本单位郑重声明，根据《财政部 民政部 中国残疾人联合会关于促进残疾人就业政府采购政策的通知》（财库〔2017〕141号）的规定，本单位为符合条件的残疾人福利性单位，且本单位参加</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单位的</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项目采购活动，由本单位提供服务。</w:t>
      </w:r>
    </w:p>
    <w:p w14:paraId="7373F0C0">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本单位对上述声明的真实性负责。如有虚假，将依法承担相应责任。</w:t>
      </w:r>
    </w:p>
    <w:p w14:paraId="28157E33">
      <w:pPr>
        <w:spacing w:line="360" w:lineRule="auto"/>
        <w:ind w:firstLine="420" w:firstLineChars="200"/>
        <w:rPr>
          <w:rFonts w:cs="仿宋" w:asciiTheme="minorEastAsia" w:hAnsiTheme="minorEastAsia" w:eastAsiaTheme="minorEastAsia"/>
          <w:snapToGrid w:val="0"/>
          <w:szCs w:val="18"/>
        </w:rPr>
      </w:pPr>
    </w:p>
    <w:p w14:paraId="19E8E1B2">
      <w:pPr>
        <w:spacing w:line="360" w:lineRule="auto"/>
        <w:ind w:firstLine="420" w:firstLineChars="200"/>
        <w:jc w:val="right"/>
        <w:rPr>
          <w:rFonts w:cs="仿宋" w:asciiTheme="minorEastAsia" w:hAnsiTheme="minorEastAsia" w:eastAsiaTheme="minorEastAsia"/>
          <w:snapToGrid w:val="0"/>
          <w:szCs w:val="18"/>
        </w:rPr>
      </w:pPr>
      <w:r>
        <w:rPr>
          <w:rFonts w:hint="eastAsia" w:ascii="宋体" w:hAnsi="宋体"/>
          <w:szCs w:val="21"/>
        </w:rPr>
        <w:t>单位名称</w:t>
      </w:r>
      <w:r>
        <w:rPr>
          <w:rFonts w:hint="eastAsia" w:cs="仿宋" w:asciiTheme="minorEastAsia" w:hAnsiTheme="minorEastAsia" w:eastAsiaTheme="minorEastAsia"/>
          <w:snapToGrid w:val="0"/>
          <w:szCs w:val="18"/>
        </w:rPr>
        <w:t>(公章)：</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w:t>
      </w:r>
    </w:p>
    <w:p w14:paraId="7BA10DE6">
      <w:pPr>
        <w:spacing w:line="360" w:lineRule="auto"/>
        <w:ind w:firstLine="420" w:firstLineChars="200"/>
        <w:jc w:val="righ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7213F793">
      <w:pPr>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 xml:space="preserve">    </w:t>
      </w:r>
    </w:p>
    <w:p w14:paraId="0D5147EE">
      <w:pPr>
        <w:rPr>
          <w:rFonts w:cs="仿宋" w:asciiTheme="minorEastAsia" w:hAnsiTheme="minorEastAsia" w:eastAsiaTheme="minorEastAsia"/>
          <w:snapToGrid w:val="0"/>
          <w:szCs w:val="18"/>
        </w:rPr>
      </w:pPr>
    </w:p>
    <w:p w14:paraId="7E122E13">
      <w:pPr>
        <w:spacing w:line="360" w:lineRule="auto"/>
        <w:ind w:firstLine="422" w:firstLineChars="200"/>
        <w:rPr>
          <w:rFonts w:cs="仿宋" w:asciiTheme="minorEastAsia" w:hAnsiTheme="minorEastAsia" w:eastAsiaTheme="minorEastAsia"/>
        </w:rPr>
      </w:pPr>
      <w:r>
        <w:rPr>
          <w:rFonts w:hint="eastAsia" w:cs="仿宋" w:asciiTheme="minorEastAsia" w:hAnsiTheme="minorEastAsia" w:eastAsiaTheme="minorEastAsia"/>
          <w:b/>
          <w:snapToGrid w:val="0"/>
          <w:color w:val="FF0000"/>
          <w:szCs w:val="18"/>
        </w:rPr>
        <w:t>备注：</w:t>
      </w:r>
      <w:r>
        <w:rPr>
          <w:rFonts w:hint="eastAsia" w:cs="仿宋" w:asciiTheme="minorEastAsia" w:hAnsiTheme="minorEastAsia" w:eastAsiaTheme="minorEastAsia"/>
          <w:snapToGrid w:val="0"/>
          <w:szCs w:val="18"/>
        </w:rPr>
        <w:t>填写前请认真阅读《财政部、民政部、中国残疾人联合会关于促进残疾人就业政府采购政策的通知》(财库〔2017〕141号)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73FC12D7">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21"/>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5C9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540" w:type="dxa"/>
            <w:vMerge w:val="restart"/>
            <w:vAlign w:val="center"/>
          </w:tcPr>
          <w:p w14:paraId="51281230">
            <w:pPr>
              <w:jc w:val="center"/>
              <w:rPr>
                <w:rFonts w:ascii="Times New Roman" w:hAnsi="Times New Roman"/>
                <w:b/>
                <w:szCs w:val="21"/>
              </w:rPr>
            </w:pPr>
            <w:r>
              <w:rPr>
                <w:rFonts w:hint="eastAsia" w:ascii="Times New Roman" w:hAnsi="Times New Roman"/>
                <w:b/>
                <w:szCs w:val="21"/>
              </w:rPr>
              <w:t>序号</w:t>
            </w:r>
          </w:p>
        </w:tc>
        <w:tc>
          <w:tcPr>
            <w:tcW w:w="1213" w:type="dxa"/>
            <w:vMerge w:val="restart"/>
            <w:vAlign w:val="center"/>
          </w:tcPr>
          <w:p w14:paraId="1CC1CE16">
            <w:pPr>
              <w:jc w:val="center"/>
              <w:rPr>
                <w:rFonts w:ascii="Times New Roman" w:hAnsi="Times New Roman"/>
                <w:b/>
                <w:szCs w:val="21"/>
              </w:rPr>
            </w:pPr>
            <w:r>
              <w:rPr>
                <w:rFonts w:hint="eastAsia" w:ascii="Times New Roman" w:hAnsi="Times New Roman"/>
                <w:b/>
                <w:szCs w:val="21"/>
              </w:rPr>
              <w:t>投标产品名称</w:t>
            </w:r>
          </w:p>
        </w:tc>
        <w:tc>
          <w:tcPr>
            <w:tcW w:w="1840" w:type="dxa"/>
            <w:vMerge w:val="restart"/>
            <w:vAlign w:val="center"/>
          </w:tcPr>
          <w:p w14:paraId="4A376187">
            <w:pPr>
              <w:jc w:val="center"/>
              <w:rPr>
                <w:rFonts w:ascii="Times New Roman" w:hAnsi="Times New Roman"/>
                <w:b/>
                <w:szCs w:val="21"/>
              </w:rPr>
            </w:pPr>
            <w:r>
              <w:rPr>
                <w:rFonts w:hint="eastAsia" w:ascii="Times New Roman" w:hAnsi="Times New Roman"/>
                <w:b/>
                <w:szCs w:val="21"/>
              </w:rPr>
              <w:t>规格及型号</w:t>
            </w:r>
          </w:p>
        </w:tc>
        <w:tc>
          <w:tcPr>
            <w:tcW w:w="4351" w:type="dxa"/>
            <w:gridSpan w:val="3"/>
            <w:vAlign w:val="center"/>
          </w:tcPr>
          <w:p w14:paraId="22F56EF6">
            <w:pPr>
              <w:jc w:val="center"/>
              <w:rPr>
                <w:rFonts w:ascii="Times New Roman" w:hAnsi="Times New Roman"/>
                <w:b/>
                <w:szCs w:val="21"/>
              </w:rPr>
            </w:pPr>
            <w:r>
              <w:rPr>
                <w:rFonts w:hint="eastAsia" w:ascii="Times New Roman" w:hAnsi="Times New Roman"/>
                <w:b/>
                <w:szCs w:val="21"/>
              </w:rPr>
              <w:t>投标产品报价</w:t>
            </w:r>
          </w:p>
        </w:tc>
        <w:tc>
          <w:tcPr>
            <w:tcW w:w="1503" w:type="dxa"/>
            <w:vMerge w:val="restart"/>
            <w:vAlign w:val="center"/>
          </w:tcPr>
          <w:p w14:paraId="5139DE78">
            <w:pPr>
              <w:jc w:val="center"/>
              <w:rPr>
                <w:rFonts w:ascii="Times New Roman" w:hAnsi="Times New Roman"/>
                <w:b/>
                <w:szCs w:val="21"/>
              </w:rPr>
            </w:pPr>
            <w:r>
              <w:rPr>
                <w:rFonts w:hint="eastAsia" w:ascii="Times New Roman" w:hAnsi="Times New Roman"/>
                <w:b/>
                <w:szCs w:val="21"/>
              </w:rPr>
              <w:t>属于优先采购清单的类别</w:t>
            </w:r>
          </w:p>
        </w:tc>
        <w:tc>
          <w:tcPr>
            <w:tcW w:w="720" w:type="dxa"/>
            <w:vMerge w:val="restart"/>
            <w:vAlign w:val="center"/>
          </w:tcPr>
          <w:p w14:paraId="5796D37D">
            <w:pPr>
              <w:jc w:val="center"/>
              <w:rPr>
                <w:rFonts w:ascii="Times New Roman" w:hAnsi="Times New Roman"/>
                <w:b/>
                <w:szCs w:val="21"/>
              </w:rPr>
            </w:pPr>
            <w:r>
              <w:rPr>
                <w:rFonts w:hint="eastAsia" w:ascii="Times New Roman" w:hAnsi="Times New Roman"/>
                <w:b/>
                <w:szCs w:val="21"/>
              </w:rPr>
              <w:t>备注</w:t>
            </w:r>
          </w:p>
        </w:tc>
      </w:tr>
      <w:tr w14:paraId="02E5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4EA7C05F">
            <w:pPr>
              <w:rPr>
                <w:rFonts w:ascii="Times New Roman" w:hAnsi="Times New Roman"/>
                <w:szCs w:val="21"/>
              </w:rPr>
            </w:pPr>
          </w:p>
        </w:tc>
        <w:tc>
          <w:tcPr>
            <w:tcW w:w="1213" w:type="dxa"/>
            <w:vMerge w:val="continue"/>
            <w:vAlign w:val="center"/>
          </w:tcPr>
          <w:p w14:paraId="3E179738">
            <w:pPr>
              <w:rPr>
                <w:rFonts w:ascii="Times New Roman" w:hAnsi="Times New Roman"/>
                <w:szCs w:val="21"/>
              </w:rPr>
            </w:pPr>
          </w:p>
        </w:tc>
        <w:tc>
          <w:tcPr>
            <w:tcW w:w="1840" w:type="dxa"/>
            <w:vMerge w:val="continue"/>
            <w:vAlign w:val="center"/>
          </w:tcPr>
          <w:p w14:paraId="37E5D5FF">
            <w:pPr>
              <w:rPr>
                <w:rFonts w:ascii="Times New Roman" w:hAnsi="Times New Roman"/>
                <w:szCs w:val="21"/>
              </w:rPr>
            </w:pPr>
          </w:p>
        </w:tc>
        <w:tc>
          <w:tcPr>
            <w:tcW w:w="818" w:type="dxa"/>
            <w:vAlign w:val="center"/>
          </w:tcPr>
          <w:p w14:paraId="7714EED1">
            <w:pPr>
              <w:rPr>
                <w:rFonts w:ascii="Times New Roman" w:hAnsi="Times New Roman"/>
                <w:szCs w:val="21"/>
              </w:rPr>
            </w:pPr>
            <w:r>
              <w:rPr>
                <w:rFonts w:hint="eastAsia" w:ascii="Times New Roman" w:hAnsi="Times New Roman"/>
                <w:szCs w:val="21"/>
              </w:rPr>
              <w:t>数量</w:t>
            </w:r>
          </w:p>
        </w:tc>
        <w:tc>
          <w:tcPr>
            <w:tcW w:w="1241" w:type="dxa"/>
            <w:vAlign w:val="center"/>
          </w:tcPr>
          <w:p w14:paraId="6E520514">
            <w:pPr>
              <w:jc w:val="center"/>
              <w:rPr>
                <w:rFonts w:ascii="Times New Roman" w:hAnsi="Times New Roman"/>
                <w:szCs w:val="21"/>
              </w:rPr>
            </w:pPr>
            <w:r>
              <w:rPr>
                <w:rFonts w:hint="eastAsia" w:ascii="Times New Roman" w:hAnsi="Times New Roman"/>
                <w:szCs w:val="21"/>
              </w:rPr>
              <w:t>投标单价（元）</w:t>
            </w:r>
          </w:p>
        </w:tc>
        <w:tc>
          <w:tcPr>
            <w:tcW w:w="2292" w:type="dxa"/>
            <w:vAlign w:val="center"/>
          </w:tcPr>
          <w:p w14:paraId="6CA5448F">
            <w:pPr>
              <w:jc w:val="center"/>
              <w:rPr>
                <w:rFonts w:ascii="Times New Roman" w:hAnsi="Times New Roman"/>
                <w:szCs w:val="21"/>
              </w:rPr>
            </w:pPr>
            <w:r>
              <w:rPr>
                <w:rFonts w:hint="eastAsia" w:ascii="Times New Roman" w:hAnsi="Times New Roman"/>
                <w:szCs w:val="21"/>
              </w:rPr>
              <w:t>投标</w:t>
            </w:r>
            <w:r>
              <w:rPr>
                <w:rFonts w:hint="eastAsia" w:ascii="宋体" w:hAnsi="宋体"/>
                <w:szCs w:val="21"/>
              </w:rPr>
              <w:t>合计</w:t>
            </w:r>
            <w:r>
              <w:rPr>
                <w:rFonts w:hint="eastAsia" w:ascii="Times New Roman" w:hAnsi="Times New Roman"/>
                <w:szCs w:val="21"/>
              </w:rPr>
              <w:t>报价（元）</w:t>
            </w:r>
          </w:p>
        </w:tc>
        <w:tc>
          <w:tcPr>
            <w:tcW w:w="1503" w:type="dxa"/>
            <w:vMerge w:val="continue"/>
            <w:vAlign w:val="center"/>
          </w:tcPr>
          <w:p w14:paraId="377BA41F">
            <w:pPr>
              <w:rPr>
                <w:rFonts w:ascii="Times New Roman" w:hAnsi="Times New Roman"/>
                <w:szCs w:val="21"/>
              </w:rPr>
            </w:pPr>
          </w:p>
        </w:tc>
        <w:tc>
          <w:tcPr>
            <w:tcW w:w="720" w:type="dxa"/>
            <w:vMerge w:val="continue"/>
            <w:vAlign w:val="center"/>
          </w:tcPr>
          <w:p w14:paraId="662B5984">
            <w:pPr>
              <w:rPr>
                <w:rFonts w:ascii="Times New Roman" w:hAnsi="Times New Roman"/>
                <w:szCs w:val="21"/>
              </w:rPr>
            </w:pPr>
          </w:p>
        </w:tc>
      </w:tr>
      <w:tr w14:paraId="3A29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4F3C4BE">
            <w:pPr>
              <w:jc w:val="center"/>
              <w:rPr>
                <w:rFonts w:ascii="宋体" w:hAnsi="宋体"/>
                <w:szCs w:val="21"/>
              </w:rPr>
            </w:pPr>
            <w:r>
              <w:rPr>
                <w:rFonts w:hint="eastAsia" w:ascii="宋体" w:hAnsi="宋体"/>
                <w:szCs w:val="21"/>
              </w:rPr>
              <w:t>1</w:t>
            </w:r>
          </w:p>
        </w:tc>
        <w:tc>
          <w:tcPr>
            <w:tcW w:w="1213" w:type="dxa"/>
            <w:vAlign w:val="center"/>
          </w:tcPr>
          <w:p w14:paraId="3C5B8FD7">
            <w:pPr>
              <w:jc w:val="center"/>
              <w:rPr>
                <w:rFonts w:ascii="Times New Roman" w:hAnsi="Times New Roman"/>
                <w:szCs w:val="21"/>
              </w:rPr>
            </w:pPr>
          </w:p>
        </w:tc>
        <w:tc>
          <w:tcPr>
            <w:tcW w:w="1840" w:type="dxa"/>
            <w:vAlign w:val="center"/>
          </w:tcPr>
          <w:p w14:paraId="1F297B51">
            <w:pPr>
              <w:jc w:val="center"/>
              <w:rPr>
                <w:rFonts w:ascii="Times New Roman" w:hAnsi="Times New Roman"/>
                <w:szCs w:val="21"/>
              </w:rPr>
            </w:pPr>
          </w:p>
        </w:tc>
        <w:tc>
          <w:tcPr>
            <w:tcW w:w="818" w:type="dxa"/>
            <w:vAlign w:val="center"/>
          </w:tcPr>
          <w:p w14:paraId="203EA812">
            <w:pPr>
              <w:jc w:val="center"/>
              <w:rPr>
                <w:rFonts w:ascii="Times New Roman" w:hAnsi="Times New Roman"/>
                <w:szCs w:val="21"/>
              </w:rPr>
            </w:pPr>
          </w:p>
        </w:tc>
        <w:tc>
          <w:tcPr>
            <w:tcW w:w="1241" w:type="dxa"/>
            <w:vAlign w:val="center"/>
          </w:tcPr>
          <w:p w14:paraId="7D20BA6D">
            <w:pPr>
              <w:jc w:val="center"/>
              <w:rPr>
                <w:rFonts w:ascii="Times New Roman" w:hAnsi="Times New Roman"/>
                <w:szCs w:val="21"/>
              </w:rPr>
            </w:pPr>
          </w:p>
        </w:tc>
        <w:tc>
          <w:tcPr>
            <w:tcW w:w="2292" w:type="dxa"/>
            <w:vAlign w:val="center"/>
          </w:tcPr>
          <w:p w14:paraId="78A0EEB1">
            <w:pPr>
              <w:jc w:val="center"/>
              <w:rPr>
                <w:rFonts w:ascii="Times New Roman" w:hAnsi="Times New Roman"/>
                <w:szCs w:val="21"/>
              </w:rPr>
            </w:pPr>
          </w:p>
        </w:tc>
        <w:tc>
          <w:tcPr>
            <w:tcW w:w="1503" w:type="dxa"/>
            <w:vAlign w:val="center"/>
          </w:tcPr>
          <w:p w14:paraId="46767BA1">
            <w:pPr>
              <w:jc w:val="center"/>
              <w:rPr>
                <w:rFonts w:ascii="Times New Roman" w:hAnsi="Times New Roman"/>
                <w:szCs w:val="21"/>
              </w:rPr>
            </w:pPr>
          </w:p>
        </w:tc>
        <w:tc>
          <w:tcPr>
            <w:tcW w:w="720" w:type="dxa"/>
            <w:vAlign w:val="center"/>
          </w:tcPr>
          <w:p w14:paraId="4877DDE2">
            <w:pPr>
              <w:jc w:val="center"/>
              <w:rPr>
                <w:rFonts w:ascii="Times New Roman" w:hAnsi="Times New Roman"/>
                <w:szCs w:val="21"/>
              </w:rPr>
            </w:pPr>
          </w:p>
        </w:tc>
      </w:tr>
      <w:tr w14:paraId="3895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7BBB9E1">
            <w:pPr>
              <w:jc w:val="center"/>
              <w:rPr>
                <w:rFonts w:ascii="宋体" w:hAnsi="宋体"/>
                <w:szCs w:val="21"/>
              </w:rPr>
            </w:pPr>
            <w:r>
              <w:rPr>
                <w:rFonts w:hint="eastAsia" w:ascii="宋体" w:hAnsi="宋体"/>
                <w:szCs w:val="21"/>
              </w:rPr>
              <w:t>2</w:t>
            </w:r>
          </w:p>
        </w:tc>
        <w:tc>
          <w:tcPr>
            <w:tcW w:w="1213" w:type="dxa"/>
            <w:vAlign w:val="center"/>
          </w:tcPr>
          <w:p w14:paraId="4E63B590">
            <w:pPr>
              <w:jc w:val="center"/>
              <w:rPr>
                <w:rFonts w:ascii="Times New Roman" w:hAnsi="Times New Roman"/>
                <w:szCs w:val="21"/>
              </w:rPr>
            </w:pPr>
          </w:p>
        </w:tc>
        <w:tc>
          <w:tcPr>
            <w:tcW w:w="1840" w:type="dxa"/>
            <w:vAlign w:val="center"/>
          </w:tcPr>
          <w:p w14:paraId="0D2B44BD">
            <w:pPr>
              <w:jc w:val="center"/>
              <w:rPr>
                <w:rFonts w:ascii="Times New Roman" w:hAnsi="Times New Roman"/>
                <w:szCs w:val="21"/>
              </w:rPr>
            </w:pPr>
          </w:p>
        </w:tc>
        <w:tc>
          <w:tcPr>
            <w:tcW w:w="818" w:type="dxa"/>
            <w:vAlign w:val="center"/>
          </w:tcPr>
          <w:p w14:paraId="3144F7BF">
            <w:pPr>
              <w:jc w:val="center"/>
              <w:rPr>
                <w:rFonts w:ascii="Times New Roman" w:hAnsi="Times New Roman"/>
                <w:szCs w:val="21"/>
              </w:rPr>
            </w:pPr>
          </w:p>
        </w:tc>
        <w:tc>
          <w:tcPr>
            <w:tcW w:w="1241" w:type="dxa"/>
            <w:vAlign w:val="center"/>
          </w:tcPr>
          <w:p w14:paraId="12DE4486">
            <w:pPr>
              <w:jc w:val="center"/>
              <w:rPr>
                <w:rFonts w:ascii="Times New Roman" w:hAnsi="Times New Roman"/>
                <w:szCs w:val="21"/>
              </w:rPr>
            </w:pPr>
          </w:p>
        </w:tc>
        <w:tc>
          <w:tcPr>
            <w:tcW w:w="2292" w:type="dxa"/>
            <w:vAlign w:val="center"/>
          </w:tcPr>
          <w:p w14:paraId="49325202">
            <w:pPr>
              <w:jc w:val="center"/>
              <w:rPr>
                <w:rFonts w:ascii="Times New Roman" w:hAnsi="Times New Roman"/>
                <w:szCs w:val="21"/>
              </w:rPr>
            </w:pPr>
          </w:p>
        </w:tc>
        <w:tc>
          <w:tcPr>
            <w:tcW w:w="1503" w:type="dxa"/>
            <w:vAlign w:val="center"/>
          </w:tcPr>
          <w:p w14:paraId="23D77EF5">
            <w:pPr>
              <w:jc w:val="center"/>
              <w:rPr>
                <w:rFonts w:ascii="Times New Roman" w:hAnsi="Times New Roman"/>
                <w:szCs w:val="21"/>
              </w:rPr>
            </w:pPr>
          </w:p>
        </w:tc>
        <w:tc>
          <w:tcPr>
            <w:tcW w:w="720" w:type="dxa"/>
            <w:vAlign w:val="center"/>
          </w:tcPr>
          <w:p w14:paraId="7CD4561D">
            <w:pPr>
              <w:jc w:val="center"/>
              <w:rPr>
                <w:rFonts w:ascii="Times New Roman" w:hAnsi="Times New Roman"/>
                <w:szCs w:val="21"/>
              </w:rPr>
            </w:pPr>
          </w:p>
        </w:tc>
      </w:tr>
    </w:tbl>
    <w:p w14:paraId="10B62E1B">
      <w:pPr>
        <w:spacing w:line="360" w:lineRule="auto"/>
        <w:rPr>
          <w:rFonts w:ascii="Times New Roman" w:hAnsi="Times New Roman"/>
          <w:szCs w:val="21"/>
        </w:rPr>
      </w:pPr>
      <w:r>
        <w:rPr>
          <w:rFonts w:hint="eastAsia" w:ascii="Times New Roman" w:hAnsi="Times New Roman"/>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投标产品，投标供应商须提供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提供以上证明材料的扫描件或复印件加盖投标供应商公章，提供的证书若存在不齐全、已过有效期或其他未被评标委员会接受的瑕疵将不予认可。</w:t>
      </w:r>
      <w:r>
        <w:rPr>
          <w:rFonts w:hint="eastAsia" w:ascii="Times New Roman" w:hAnsi="Times New Roman"/>
          <w:szCs w:val="21"/>
        </w:rPr>
        <w:t>投标产品若不属于上述清单或目录范围内，则无需填写该表。</w:t>
      </w:r>
    </w:p>
    <w:p w14:paraId="6F6D5D54">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3A9B2E35">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r>
        <w:rPr>
          <w:rFonts w:cs="仿宋" w:asciiTheme="minorEastAsia" w:hAnsiTheme="minorEastAsia" w:eastAsiaTheme="minorEastAsia"/>
          <w:b/>
          <w:sz w:val="32"/>
          <w:szCs w:val="32"/>
        </w:rPr>
        <w:br w:type="page"/>
      </w:r>
    </w:p>
    <w:p w14:paraId="5A4C673C">
      <w:pPr>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格式4  </w:t>
      </w:r>
      <w:r>
        <w:rPr>
          <w:rFonts w:hint="eastAsia" w:cs="仿宋" w:asciiTheme="minorEastAsia" w:hAnsiTheme="minorEastAsia" w:eastAsiaTheme="minorEastAsia"/>
          <w:b/>
          <w:bCs/>
          <w:sz w:val="32"/>
          <w:szCs w:val="32"/>
        </w:rPr>
        <w:t>开标一览表</w:t>
      </w:r>
    </w:p>
    <w:p w14:paraId="0459C113">
      <w:pPr>
        <w:rPr>
          <w:rFonts w:cs="仿宋" w:asciiTheme="minorEastAsia" w:hAnsiTheme="minorEastAsia" w:eastAsiaTheme="minorEastAsia"/>
        </w:rPr>
      </w:pPr>
    </w:p>
    <w:p w14:paraId="2C2730CD">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项目名称：</w:t>
      </w:r>
      <w:r>
        <w:rPr>
          <w:rFonts w:hint="eastAsia" w:cs="仿宋" w:asciiTheme="minorEastAsia" w:hAnsiTheme="minorEastAsia" w:eastAsiaTheme="minorEastAsia"/>
          <w:u w:val="single"/>
        </w:rPr>
        <w:t xml:space="preserve">                </w:t>
      </w:r>
    </w:p>
    <w:p w14:paraId="590534D2">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项目编号：</w:t>
      </w:r>
      <w:r>
        <w:rPr>
          <w:rFonts w:hint="eastAsia" w:cs="仿宋" w:asciiTheme="minorEastAsia" w:hAnsiTheme="minorEastAsia" w:eastAsiaTheme="minorEastAsia"/>
          <w:u w:val="single"/>
        </w:rPr>
        <w:t xml:space="preserve">                </w:t>
      </w:r>
    </w:p>
    <w:tbl>
      <w:tblPr>
        <w:tblStyle w:val="22"/>
        <w:tblW w:w="4998" w:type="pct"/>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11"/>
        <w:gridCol w:w="3775"/>
        <w:gridCol w:w="1533"/>
      </w:tblGrid>
      <w:tr w14:paraId="78230F16">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4" w:type="pct"/>
            <w:shd w:val="clear" w:color="auto" w:fill="C6D9F0" w:themeFill="text2" w:themeFillTint="33"/>
            <w:vAlign w:val="center"/>
          </w:tcPr>
          <w:p w14:paraId="1F9583D4">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项目名称</w:t>
            </w:r>
          </w:p>
        </w:tc>
        <w:tc>
          <w:tcPr>
            <w:tcW w:w="2215" w:type="pct"/>
            <w:shd w:val="clear" w:color="auto" w:fill="C6D9F0" w:themeFill="text2" w:themeFillTint="33"/>
            <w:vAlign w:val="center"/>
          </w:tcPr>
          <w:p w14:paraId="2CA3D42F">
            <w:pPr>
              <w:jc w:val="center"/>
              <w:rPr>
                <w:rFonts w:hint="eastAsia" w:cs="仿宋" w:asciiTheme="minorEastAsia" w:hAnsiTheme="minorEastAsia" w:eastAsiaTheme="minorEastAsia"/>
                <w:b/>
                <w:lang w:eastAsia="zh-CN"/>
              </w:rPr>
            </w:pPr>
            <w:r>
              <w:rPr>
                <w:rFonts w:hint="eastAsia" w:cs="仿宋" w:asciiTheme="minorEastAsia" w:hAnsiTheme="minorEastAsia" w:eastAsiaTheme="minorEastAsia"/>
                <w:b/>
                <w:lang w:val="en-US" w:eastAsia="zh-CN"/>
              </w:rPr>
              <w:t>折扣率</w:t>
            </w:r>
          </w:p>
        </w:tc>
        <w:tc>
          <w:tcPr>
            <w:tcW w:w="899" w:type="pct"/>
            <w:shd w:val="clear" w:color="auto" w:fill="C6D9F0" w:themeFill="text2" w:themeFillTint="33"/>
            <w:vAlign w:val="center"/>
          </w:tcPr>
          <w:p w14:paraId="48A4C162">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备注</w:t>
            </w:r>
          </w:p>
        </w:tc>
      </w:tr>
      <w:tr w14:paraId="4B587FA8">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9" w:hRule="atLeast"/>
          <w:jc w:val="center"/>
        </w:trPr>
        <w:tc>
          <w:tcPr>
            <w:tcW w:w="1884" w:type="pct"/>
            <w:vAlign w:val="center"/>
          </w:tcPr>
          <w:p w14:paraId="7912816E">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警训支队布草洗涤服务采购项目</w:t>
            </w:r>
          </w:p>
        </w:tc>
        <w:tc>
          <w:tcPr>
            <w:tcW w:w="2215" w:type="pct"/>
            <w:vAlign w:val="center"/>
          </w:tcPr>
          <w:p w14:paraId="448CC218">
            <w:pPr>
              <w:spacing w:line="360" w:lineRule="auto"/>
              <w:ind w:firstLine="210" w:firstLineChars="100"/>
              <w:jc w:val="center"/>
              <w:rPr>
                <w:rFonts w:cs="仿宋" w:asciiTheme="minorEastAsia" w:hAnsiTheme="minorEastAsia" w:eastAsiaTheme="minorEastAsia"/>
                <w:u w:val="single"/>
              </w:rPr>
            </w:pPr>
          </w:p>
        </w:tc>
        <w:tc>
          <w:tcPr>
            <w:tcW w:w="899" w:type="pct"/>
            <w:vAlign w:val="center"/>
          </w:tcPr>
          <w:p w14:paraId="6BC14D81">
            <w:pPr>
              <w:spacing w:line="360" w:lineRule="auto"/>
              <w:jc w:val="center"/>
              <w:rPr>
                <w:rFonts w:cs="仿宋" w:asciiTheme="minorEastAsia" w:hAnsiTheme="minorEastAsia" w:eastAsiaTheme="minorEastAsia"/>
              </w:rPr>
            </w:pPr>
          </w:p>
        </w:tc>
      </w:tr>
    </w:tbl>
    <w:p w14:paraId="383F01C2">
      <w:pPr>
        <w:spacing w:line="360" w:lineRule="auto"/>
        <w:rPr>
          <w:rFonts w:cs="仿宋" w:asciiTheme="minorEastAsia" w:hAnsiTheme="minorEastAsia" w:eastAsiaTheme="minorEastAsia"/>
        </w:rPr>
      </w:pPr>
    </w:p>
    <w:p w14:paraId="4D81A655">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14:paraId="1C29C454">
      <w:pPr>
        <w:spacing w:line="360" w:lineRule="auto"/>
        <w:rPr>
          <w:rFonts w:cs="仿宋" w:asciiTheme="minorEastAsia" w:hAnsiTheme="minorEastAsia" w:eastAsiaTheme="minorEastAsia"/>
        </w:rPr>
      </w:pPr>
    </w:p>
    <w:p w14:paraId="4FE9EF3C">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法定代表人或其授权代表：（</w:t>
      </w:r>
      <w:r>
        <w:rPr>
          <w:rFonts w:hint="eastAsia" w:cs="仿宋" w:asciiTheme="minorEastAsia" w:hAnsiTheme="minorEastAsia" w:eastAsiaTheme="minorEastAsia"/>
          <w:snapToGrid w:val="0"/>
          <w:kern w:val="0"/>
        </w:rPr>
        <w:t>签字或盖章</w:t>
      </w:r>
      <w:r>
        <w:rPr>
          <w:rFonts w:hint="eastAsia" w:cs="仿宋" w:asciiTheme="minorEastAsia" w:hAnsiTheme="minorEastAsia" w:eastAsiaTheme="minorEastAsia"/>
        </w:rPr>
        <w:t>）</w:t>
      </w:r>
    </w:p>
    <w:p w14:paraId="4700B9D5">
      <w:pPr>
        <w:spacing w:line="360" w:lineRule="auto"/>
        <w:ind w:firstLine="630"/>
        <w:rPr>
          <w:rFonts w:cs="仿宋" w:asciiTheme="minorEastAsia" w:hAnsiTheme="minorEastAsia" w:eastAsiaTheme="minorEastAsia"/>
        </w:rPr>
      </w:pPr>
    </w:p>
    <w:p w14:paraId="6BC6D029">
      <w:pPr>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08DCF341">
      <w:pPr>
        <w:jc w:val="left"/>
        <w:rPr>
          <w:rFonts w:cs="仿宋" w:asciiTheme="minorEastAsia" w:hAnsiTheme="minorEastAsia" w:eastAsiaTheme="minorEastAsia"/>
        </w:rPr>
      </w:pPr>
    </w:p>
    <w:p w14:paraId="5EE15D45">
      <w:pPr>
        <w:jc w:val="left"/>
        <w:rPr>
          <w:rFonts w:cs="仿宋" w:asciiTheme="minorEastAsia" w:hAnsiTheme="minorEastAsia" w:eastAsiaTheme="minorEastAsia"/>
        </w:rPr>
      </w:pPr>
    </w:p>
    <w:p w14:paraId="65179360">
      <w:pPr>
        <w:jc w:val="left"/>
        <w:rPr>
          <w:rFonts w:cs="仿宋" w:asciiTheme="minorEastAsia" w:hAnsiTheme="minorEastAsia" w:eastAsiaTheme="minorEastAsia"/>
        </w:rPr>
      </w:pPr>
    </w:p>
    <w:p w14:paraId="06635F4E">
      <w:pPr>
        <w:jc w:val="left"/>
        <w:rPr>
          <w:rFonts w:cs="仿宋" w:asciiTheme="minorEastAsia" w:hAnsiTheme="minorEastAsia" w:eastAsiaTheme="minorEastAsia"/>
        </w:rPr>
      </w:pPr>
    </w:p>
    <w:p w14:paraId="3B1F54E0">
      <w:pPr>
        <w:ind w:firstLine="422" w:firstLineChars="200"/>
        <w:jc w:val="left"/>
        <w:rPr>
          <w:rFonts w:hint="eastAsia" w:cs="仿宋" w:asciiTheme="minorEastAsia" w:hAnsiTheme="minorEastAsia" w:eastAsiaTheme="minorEastAsia"/>
        </w:rPr>
      </w:pPr>
      <w:r>
        <w:rPr>
          <w:rFonts w:hint="eastAsia" w:cs="仿宋" w:asciiTheme="minorEastAsia" w:hAnsiTheme="minorEastAsia" w:eastAsiaTheme="minorEastAsia"/>
          <w:b/>
          <w:color w:val="FF0000"/>
        </w:rPr>
        <w:t>注：</w:t>
      </w:r>
      <w:r>
        <w:rPr>
          <w:rFonts w:hint="eastAsia" w:cs="仿宋" w:asciiTheme="minorEastAsia" w:hAnsiTheme="minorEastAsia" w:eastAsiaTheme="minorEastAsia"/>
        </w:rPr>
        <w:t>1</w:t>
      </w:r>
      <w:r>
        <w:rPr>
          <w:rFonts w:hint="eastAsia" w:cs="仿宋" w:asciiTheme="minorEastAsia" w:hAnsiTheme="minorEastAsia" w:eastAsiaTheme="minorEastAsia"/>
          <w:lang w:eastAsia="zh-CN"/>
        </w:rPr>
        <w:t>、</w:t>
      </w:r>
      <w:r>
        <w:rPr>
          <w:rFonts w:hint="eastAsia" w:cs="仿宋" w:asciiTheme="minorEastAsia" w:hAnsiTheme="minorEastAsia" w:eastAsiaTheme="minorEastAsia"/>
        </w:rPr>
        <w:t>填写要求：0＜折扣率≤1，未按此要求填写将作废标处理。</w:t>
      </w:r>
    </w:p>
    <w:p w14:paraId="4BC6EF50">
      <w:pPr>
        <w:ind w:firstLine="420" w:firstLineChars="200"/>
        <w:jc w:val="left"/>
        <w:rPr>
          <w:rFonts w:hint="eastAsia" w:cs="仿宋" w:asciiTheme="minorEastAsia" w:hAnsiTheme="minorEastAsia" w:eastAsiaTheme="minorEastAsia"/>
        </w:rPr>
      </w:pPr>
      <w:r>
        <w:rPr>
          <w:rFonts w:hint="eastAsia" w:cs="仿宋" w:asciiTheme="minorEastAsia" w:hAnsiTheme="minorEastAsia" w:eastAsiaTheme="minorEastAsia"/>
          <w:lang w:val="en-US" w:eastAsia="zh-CN"/>
        </w:rPr>
        <w:t>2、</w:t>
      </w:r>
      <w:r>
        <w:rPr>
          <w:rFonts w:hint="eastAsia" w:cs="仿宋" w:asciiTheme="minorEastAsia" w:hAnsiTheme="minorEastAsia" w:eastAsiaTheme="minorEastAsia"/>
        </w:rPr>
        <w:t>填写的“折扣率”应为小数，（如：0.90、0.80、0.78，保留小数点后两位）；</w:t>
      </w:r>
    </w:p>
    <w:p w14:paraId="721BC2FE">
      <w:pPr>
        <w:ind w:firstLine="420" w:firstLineChars="200"/>
        <w:jc w:val="left"/>
        <w:rPr>
          <w:rFonts w:hint="eastAsia" w:cs="仿宋" w:asciiTheme="minorEastAsia" w:hAnsiTheme="minorEastAsia" w:eastAsiaTheme="minorEastAsia"/>
        </w:rPr>
      </w:pPr>
      <w:r>
        <w:rPr>
          <w:rFonts w:hint="eastAsia" w:cs="仿宋" w:asciiTheme="minorEastAsia" w:hAnsiTheme="minorEastAsia" w:eastAsiaTheme="minorEastAsia"/>
          <w:lang w:val="en-US" w:eastAsia="zh-CN"/>
        </w:rPr>
        <w:t>3、</w:t>
      </w:r>
      <w:r>
        <w:rPr>
          <w:rFonts w:hint="eastAsia" w:cs="仿宋" w:asciiTheme="minorEastAsia" w:hAnsiTheme="minorEastAsia" w:eastAsiaTheme="minorEastAsia"/>
        </w:rPr>
        <w:t>投标</w:t>
      </w:r>
      <w:r>
        <w:rPr>
          <w:rFonts w:hint="eastAsia" w:cs="仿宋" w:asciiTheme="minorEastAsia" w:hAnsiTheme="minorEastAsia" w:eastAsiaTheme="minorEastAsia"/>
          <w:lang w:val="en-US" w:eastAsia="zh-CN"/>
        </w:rPr>
        <w:t>供应商</w:t>
      </w:r>
      <w:r>
        <w:rPr>
          <w:rFonts w:hint="eastAsia" w:cs="仿宋" w:asciiTheme="minorEastAsia" w:hAnsiTheme="minorEastAsia" w:eastAsiaTheme="minorEastAsia"/>
        </w:rPr>
        <w:t>参与投标只允许填报一个“折扣率”，不允许填报2个（或以上）的“折扣率”；填报了2个或以上“折扣率”的，其投标将直接作投标无效处理；</w:t>
      </w:r>
    </w:p>
    <w:p w14:paraId="338478D6">
      <w:pPr>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lang w:val="en-US" w:eastAsia="zh-CN"/>
        </w:rPr>
        <w:t>4、</w:t>
      </w:r>
      <w:r>
        <w:rPr>
          <w:rFonts w:hint="eastAsia" w:cs="仿宋" w:asciiTheme="minorEastAsia" w:hAnsiTheme="minorEastAsia" w:eastAsiaTheme="minorEastAsia"/>
        </w:rPr>
        <w:t>“折扣率”缺填、漏填将直接作投标无效处理。</w:t>
      </w:r>
    </w:p>
    <w:p w14:paraId="74796289">
      <w:pPr>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lang w:val="en-US" w:eastAsia="zh-CN"/>
        </w:rPr>
        <w:t>5</w:t>
      </w:r>
      <w:r>
        <w:rPr>
          <w:rFonts w:hint="eastAsia" w:cs="仿宋" w:asciiTheme="minorEastAsia" w:hAnsiTheme="minorEastAsia" w:eastAsiaTheme="minorEastAsia"/>
        </w:rPr>
        <w:t>、此表应经法定代表人或其授权委托人签名，并加盖投标供应商公章。</w:t>
      </w:r>
    </w:p>
    <w:p w14:paraId="246F4B32">
      <w:pPr>
        <w:ind w:firstLine="424" w:firstLineChars="176"/>
        <w:jc w:val="left"/>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lang w:val="en-US" w:eastAsia="zh-CN"/>
        </w:rPr>
        <w:t>6</w:t>
      </w:r>
      <w:r>
        <w:rPr>
          <w:rFonts w:cs="仿宋" w:asciiTheme="minorEastAsia" w:hAnsiTheme="minorEastAsia" w:eastAsiaTheme="minorEastAsia"/>
          <w:b/>
          <w:sz w:val="24"/>
          <w:szCs w:val="24"/>
        </w:rPr>
        <w:t>、此表毋需装订于正副本内，应按“</w:t>
      </w:r>
      <w:r>
        <w:rPr>
          <w:rFonts w:hint="eastAsia" w:cs="仿宋" w:asciiTheme="minorEastAsia" w:hAnsiTheme="minorEastAsia" w:eastAsiaTheme="minorEastAsia"/>
          <w:b/>
          <w:sz w:val="24"/>
          <w:szCs w:val="24"/>
        </w:rPr>
        <w:t>投标须知”</w:t>
      </w:r>
      <w:r>
        <w:rPr>
          <w:rFonts w:cs="仿宋" w:asciiTheme="minorEastAsia" w:hAnsiTheme="minorEastAsia" w:eastAsiaTheme="minorEastAsia"/>
          <w:b/>
          <w:sz w:val="24"/>
          <w:szCs w:val="24"/>
        </w:rPr>
        <w:t>18.5项要求，与“法定代表人（负责人）证明书、法定代表人（负责人）授权委托书”一起单独密封提交</w:t>
      </w:r>
    </w:p>
    <w:p w14:paraId="1DC25BB7">
      <w:pPr>
        <w:ind w:firstLine="413" w:firstLineChars="196"/>
        <w:jc w:val="left"/>
        <w:rPr>
          <w:rFonts w:cs="仿宋" w:asciiTheme="minorEastAsia" w:hAnsiTheme="minorEastAsia" w:eastAsiaTheme="minorEastAsia"/>
          <w:b/>
        </w:rPr>
      </w:pPr>
    </w:p>
    <w:p w14:paraId="64429DE9">
      <w:pPr>
        <w:rPr>
          <w:rFonts w:cs="仿宋" w:asciiTheme="minorEastAsia" w:hAnsiTheme="minorEastAsia" w:eastAsiaTheme="minorEastAsia"/>
        </w:rPr>
      </w:pPr>
    </w:p>
    <w:p w14:paraId="075090D9">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7B158463">
      <w:pPr>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格式5  </w:t>
      </w:r>
      <w:r>
        <w:rPr>
          <w:rFonts w:hint="eastAsia" w:cs="仿宋" w:asciiTheme="minorEastAsia" w:hAnsiTheme="minorEastAsia" w:eastAsiaTheme="minorEastAsia"/>
          <w:b/>
          <w:bCs/>
          <w:sz w:val="32"/>
          <w:szCs w:val="32"/>
        </w:rPr>
        <w:t>报价表</w:t>
      </w:r>
    </w:p>
    <w:p w14:paraId="7F22234F">
      <w:pPr>
        <w:rPr>
          <w:rFonts w:cs="仿宋" w:asciiTheme="minorEastAsia" w:hAnsiTheme="minorEastAsia" w:eastAsiaTheme="minorEastAsia"/>
        </w:rPr>
      </w:pPr>
    </w:p>
    <w:p w14:paraId="058610BC">
      <w:pPr>
        <w:spacing w:line="360" w:lineRule="auto"/>
        <w:rPr>
          <w:rFonts w:cs="仿宋" w:asciiTheme="minorEastAsia" w:hAnsiTheme="minorEastAsia" w:eastAsiaTheme="minorEastAsia"/>
        </w:rPr>
      </w:pPr>
      <w:r>
        <w:rPr>
          <w:rFonts w:hint="eastAsia" w:cs="仿宋" w:asciiTheme="minorEastAsia" w:hAnsiTheme="minorEastAsia" w:eastAsiaTheme="minorEastAsia"/>
        </w:rPr>
        <w:t>一、报价要求</w:t>
      </w:r>
    </w:p>
    <w:p w14:paraId="000E223F">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1、所有价格应按“征集文件”中规定的货币单位填写。</w:t>
      </w:r>
    </w:p>
    <w:p w14:paraId="0C03FC7C">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2、此表应经法定代表人或授权委托人签名，并加盖公章。</w:t>
      </w:r>
    </w:p>
    <w:p w14:paraId="66E63BDB">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w:t>
      </w:r>
      <w:r>
        <w:rPr>
          <w:rFonts w:hint="eastAsia" w:ascii="宋体" w:hAnsi="宋体"/>
          <w:szCs w:val="21"/>
        </w:rPr>
        <w:t>投标</w:t>
      </w:r>
      <w:r>
        <w:rPr>
          <w:rFonts w:hint="eastAsia"/>
          <w:snapToGrid w:val="0"/>
          <w:kern w:val="0"/>
        </w:rPr>
        <w:t>报</w:t>
      </w:r>
      <w:r>
        <w:rPr>
          <w:rFonts w:hint="eastAsia" w:ascii="宋体" w:hAnsi="宋体"/>
          <w:szCs w:val="21"/>
        </w:rPr>
        <w:t>价为综合报价，包含完成本项目所需的全部费用</w:t>
      </w:r>
      <w:r>
        <w:rPr>
          <w:rFonts w:hint="eastAsia" w:cs="仿宋" w:asciiTheme="minorEastAsia" w:hAnsiTheme="minorEastAsia" w:eastAsiaTheme="minorEastAsia"/>
        </w:rPr>
        <w:t>。</w:t>
      </w:r>
    </w:p>
    <w:p w14:paraId="50B571C8">
      <w:pPr>
        <w:spacing w:line="360" w:lineRule="auto"/>
        <w:ind w:firstLine="420" w:firstLineChars="200"/>
        <w:rPr>
          <w:rFonts w:cs="仿宋" w:asciiTheme="minorEastAsia" w:hAnsiTheme="minorEastAsia" w:eastAsiaTheme="minorEastAsia"/>
        </w:rPr>
      </w:pPr>
    </w:p>
    <w:p w14:paraId="5BC0939D">
      <w:pPr>
        <w:spacing w:line="360" w:lineRule="auto"/>
        <w:ind w:firstLine="643" w:firstLineChars="200"/>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报价表</w:t>
      </w:r>
    </w:p>
    <w:p w14:paraId="3F41180A">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项目名称：</w:t>
      </w:r>
    </w:p>
    <w:p w14:paraId="2909D8D7">
      <w:pPr>
        <w:spacing w:line="360" w:lineRule="auto"/>
        <w:rPr>
          <w:rFonts w:cs="仿宋" w:asciiTheme="minorEastAsia" w:hAnsiTheme="minorEastAsia" w:eastAsiaTheme="minorEastAsia"/>
        </w:rPr>
      </w:pPr>
      <w:r>
        <w:rPr>
          <w:rFonts w:hint="eastAsia" w:cs="仿宋" w:asciiTheme="minorEastAsia" w:hAnsiTheme="minorEastAsia" w:eastAsiaTheme="minorEastAsia"/>
        </w:rPr>
        <w:t>项目编号：</w:t>
      </w:r>
    </w:p>
    <w:tbl>
      <w:tblPr>
        <w:tblStyle w:val="2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49"/>
        <w:gridCol w:w="2835"/>
        <w:gridCol w:w="2376"/>
      </w:tblGrid>
      <w:tr w14:paraId="6A917B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noWrap w:val="0"/>
            <w:vAlign w:val="center"/>
          </w:tcPr>
          <w:p w14:paraId="7AE1C9B3">
            <w:pPr>
              <w:adjustRightInd w:val="0"/>
              <w:snapToGrid w:val="0"/>
              <w:spacing w:line="300" w:lineRule="auto"/>
              <w:jc w:val="center"/>
              <w:rPr>
                <w:b/>
                <w:snapToGrid w:val="0"/>
                <w:kern w:val="0"/>
              </w:rPr>
            </w:pPr>
            <w:r>
              <w:rPr>
                <w:b/>
                <w:snapToGrid w:val="0"/>
                <w:kern w:val="0"/>
              </w:rPr>
              <w:t>序号</w:t>
            </w:r>
          </w:p>
        </w:tc>
        <w:tc>
          <w:tcPr>
            <w:tcW w:w="3249" w:type="dxa"/>
            <w:noWrap w:val="0"/>
            <w:vAlign w:val="center"/>
          </w:tcPr>
          <w:p w14:paraId="54896DB3">
            <w:pPr>
              <w:adjustRightInd w:val="0"/>
              <w:snapToGrid w:val="0"/>
              <w:spacing w:line="300" w:lineRule="auto"/>
              <w:jc w:val="center"/>
              <w:rPr>
                <w:b/>
                <w:snapToGrid w:val="0"/>
                <w:kern w:val="0"/>
              </w:rPr>
            </w:pPr>
            <w:r>
              <w:rPr>
                <w:rFonts w:hint="eastAsia"/>
                <w:b/>
                <w:snapToGrid w:val="0"/>
                <w:kern w:val="0"/>
              </w:rPr>
              <w:t>项目内容</w:t>
            </w:r>
          </w:p>
        </w:tc>
        <w:tc>
          <w:tcPr>
            <w:tcW w:w="2835" w:type="dxa"/>
            <w:noWrap w:val="0"/>
            <w:vAlign w:val="center"/>
          </w:tcPr>
          <w:p w14:paraId="2DA5A2BC">
            <w:pPr>
              <w:adjustRightInd w:val="0"/>
              <w:snapToGrid w:val="0"/>
              <w:spacing w:line="300" w:lineRule="auto"/>
              <w:jc w:val="center"/>
              <w:rPr>
                <w:b/>
                <w:snapToGrid w:val="0"/>
                <w:kern w:val="0"/>
              </w:rPr>
            </w:pPr>
            <w:r>
              <w:rPr>
                <w:rFonts w:hint="eastAsia"/>
                <w:b/>
                <w:snapToGrid w:val="0"/>
                <w:kern w:val="0"/>
              </w:rPr>
              <w:t>折扣率</w:t>
            </w:r>
          </w:p>
        </w:tc>
        <w:tc>
          <w:tcPr>
            <w:tcW w:w="2376" w:type="dxa"/>
            <w:noWrap w:val="0"/>
            <w:vAlign w:val="center"/>
          </w:tcPr>
          <w:p w14:paraId="00EF8079">
            <w:pPr>
              <w:adjustRightInd w:val="0"/>
              <w:snapToGrid w:val="0"/>
              <w:spacing w:line="300" w:lineRule="auto"/>
              <w:jc w:val="center"/>
              <w:rPr>
                <w:b/>
                <w:snapToGrid w:val="0"/>
                <w:kern w:val="0"/>
              </w:rPr>
            </w:pPr>
            <w:r>
              <w:rPr>
                <w:rFonts w:hint="eastAsia"/>
                <w:b/>
                <w:snapToGrid w:val="0"/>
                <w:kern w:val="0"/>
              </w:rPr>
              <w:t>备注</w:t>
            </w:r>
          </w:p>
        </w:tc>
      </w:tr>
      <w:tr w14:paraId="31199E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28" w:type="dxa"/>
            <w:noWrap w:val="0"/>
            <w:vAlign w:val="center"/>
          </w:tcPr>
          <w:p w14:paraId="1A18C2C5">
            <w:pPr>
              <w:adjustRightInd w:val="0"/>
              <w:snapToGrid w:val="0"/>
              <w:spacing w:line="300" w:lineRule="auto"/>
              <w:jc w:val="center"/>
              <w:rPr>
                <w:snapToGrid w:val="0"/>
                <w:kern w:val="0"/>
              </w:rPr>
            </w:pPr>
            <w:r>
              <w:rPr>
                <w:snapToGrid w:val="0"/>
                <w:kern w:val="0"/>
              </w:rPr>
              <w:t>1</w:t>
            </w:r>
          </w:p>
        </w:tc>
        <w:tc>
          <w:tcPr>
            <w:tcW w:w="3249" w:type="dxa"/>
            <w:noWrap w:val="0"/>
            <w:vAlign w:val="center"/>
          </w:tcPr>
          <w:p w14:paraId="17F0762C">
            <w:pPr>
              <w:adjustRightInd w:val="0"/>
              <w:snapToGrid w:val="0"/>
              <w:spacing w:line="300" w:lineRule="auto"/>
              <w:rPr>
                <w:snapToGrid w:val="0"/>
                <w:kern w:val="0"/>
              </w:rPr>
            </w:pPr>
          </w:p>
        </w:tc>
        <w:tc>
          <w:tcPr>
            <w:tcW w:w="2835" w:type="dxa"/>
            <w:noWrap w:val="0"/>
            <w:vAlign w:val="center"/>
          </w:tcPr>
          <w:p w14:paraId="22558328">
            <w:pPr>
              <w:adjustRightInd w:val="0"/>
              <w:snapToGrid w:val="0"/>
              <w:spacing w:line="300" w:lineRule="auto"/>
              <w:jc w:val="center"/>
              <w:rPr>
                <w:snapToGrid w:val="0"/>
                <w:kern w:val="0"/>
              </w:rPr>
            </w:pPr>
          </w:p>
        </w:tc>
        <w:tc>
          <w:tcPr>
            <w:tcW w:w="2376" w:type="dxa"/>
            <w:noWrap w:val="0"/>
            <w:vAlign w:val="center"/>
          </w:tcPr>
          <w:p w14:paraId="3E107543">
            <w:pPr>
              <w:adjustRightInd w:val="0"/>
              <w:snapToGrid w:val="0"/>
              <w:spacing w:line="300" w:lineRule="auto"/>
              <w:jc w:val="center"/>
              <w:rPr>
                <w:snapToGrid w:val="0"/>
                <w:kern w:val="0"/>
              </w:rPr>
            </w:pPr>
          </w:p>
        </w:tc>
      </w:tr>
    </w:tbl>
    <w:p w14:paraId="5DDEEC33">
      <w:pPr>
        <w:tabs>
          <w:tab w:val="left" w:pos="765"/>
        </w:tabs>
        <w:spacing w:line="376" w:lineRule="auto"/>
        <w:outlineLvl w:val="3"/>
        <w:rPr>
          <w:rFonts w:ascii="宋体" w:hAnsi="宋体"/>
          <w:bCs/>
          <w:kern w:val="0"/>
          <w:szCs w:val="21"/>
        </w:rPr>
      </w:pPr>
      <w:r>
        <w:rPr>
          <w:rFonts w:hint="eastAsia" w:ascii="宋体" w:hAnsi="宋体"/>
          <w:bCs/>
          <w:kern w:val="0"/>
          <w:szCs w:val="21"/>
        </w:rPr>
        <w:t>注：开标一览表的折扣率必须与以上</w:t>
      </w:r>
      <w:r>
        <w:rPr>
          <w:rFonts w:hint="eastAsia" w:ascii="宋体" w:hAnsi="宋体"/>
          <w:bCs/>
          <w:kern w:val="0"/>
          <w:szCs w:val="21"/>
          <w:lang w:val="en-US" w:eastAsia="zh-CN"/>
        </w:rPr>
        <w:t>报价表</w:t>
      </w:r>
      <w:r>
        <w:rPr>
          <w:rFonts w:hint="eastAsia" w:ascii="宋体" w:hAnsi="宋体"/>
          <w:bCs/>
          <w:kern w:val="0"/>
          <w:szCs w:val="21"/>
        </w:rPr>
        <w:t>的折扣率一致。</w:t>
      </w:r>
    </w:p>
    <w:p w14:paraId="4AC88F2A">
      <w:pPr>
        <w:pStyle w:val="20"/>
        <w:rPr>
          <w:rFonts w:asciiTheme="minorEastAsia" w:hAnsiTheme="minorEastAsia" w:eastAsiaTheme="minorEastAsia"/>
        </w:rPr>
      </w:pPr>
    </w:p>
    <w:p w14:paraId="3A94E19C">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14:paraId="27C9C260">
      <w:pPr>
        <w:spacing w:line="360" w:lineRule="auto"/>
        <w:rPr>
          <w:rFonts w:cs="仿宋" w:asciiTheme="minorEastAsia" w:hAnsiTheme="minorEastAsia" w:eastAsiaTheme="minorEastAsia"/>
        </w:rPr>
      </w:pPr>
    </w:p>
    <w:p w14:paraId="13BA608E">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法定代表人或其授权代表：（</w:t>
      </w:r>
      <w:r>
        <w:rPr>
          <w:rFonts w:hint="eastAsia" w:cs="仿宋" w:asciiTheme="minorEastAsia" w:hAnsiTheme="minorEastAsia" w:eastAsiaTheme="minorEastAsia"/>
          <w:snapToGrid w:val="0"/>
          <w:kern w:val="0"/>
        </w:rPr>
        <w:t>签字或盖章</w:t>
      </w:r>
      <w:r>
        <w:rPr>
          <w:rFonts w:hint="eastAsia" w:cs="仿宋" w:asciiTheme="minorEastAsia" w:hAnsiTheme="minorEastAsia" w:eastAsiaTheme="minorEastAsia"/>
        </w:rPr>
        <w:t>）</w:t>
      </w:r>
    </w:p>
    <w:p w14:paraId="7FD8C90A">
      <w:pPr>
        <w:spacing w:line="360" w:lineRule="auto"/>
        <w:ind w:firstLine="630"/>
        <w:rPr>
          <w:rFonts w:cs="仿宋" w:asciiTheme="minorEastAsia" w:hAnsiTheme="minorEastAsia" w:eastAsiaTheme="minorEastAsia"/>
        </w:rPr>
      </w:pPr>
    </w:p>
    <w:p w14:paraId="19F06D1F">
      <w:pPr>
        <w:spacing w:line="360" w:lineRule="auto"/>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54ED3460">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1046DED6">
      <w:pPr>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格式6  </w:t>
      </w:r>
      <w:r>
        <w:rPr>
          <w:rFonts w:hint="eastAsia" w:cs="仿宋" w:asciiTheme="minorEastAsia" w:hAnsiTheme="minorEastAsia" w:eastAsiaTheme="minorEastAsia"/>
          <w:b/>
          <w:bCs/>
          <w:sz w:val="32"/>
          <w:szCs w:val="32"/>
        </w:rPr>
        <w:t>服务方案</w:t>
      </w:r>
    </w:p>
    <w:p w14:paraId="35E07719">
      <w:pPr>
        <w:rPr>
          <w:rFonts w:cs="仿宋" w:asciiTheme="minorEastAsia" w:hAnsiTheme="minorEastAsia" w:eastAsiaTheme="minorEastAsia"/>
          <w:highlight w:val="yellow"/>
        </w:rPr>
      </w:pPr>
    </w:p>
    <w:p w14:paraId="4DB96BA9">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rPr>
        <w:t>1、实施方案</w:t>
      </w:r>
    </w:p>
    <w:p w14:paraId="268473C7">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2、</w:t>
      </w:r>
      <w:r>
        <w:rPr>
          <w:rFonts w:hint="eastAsia" w:cs="仿宋" w:asciiTheme="minorEastAsia" w:hAnsiTheme="minorEastAsia" w:eastAsiaTheme="minorEastAsia"/>
          <w:sz w:val="22"/>
        </w:rPr>
        <w:t>项目重点难点分析、应对措施及相关的合理化建议</w:t>
      </w:r>
    </w:p>
    <w:p w14:paraId="5FEA4793">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3、</w:t>
      </w:r>
      <w:r>
        <w:rPr>
          <w:rFonts w:hint="eastAsia" w:cs="仿宋" w:asciiTheme="minorEastAsia" w:hAnsiTheme="minorEastAsia" w:eastAsiaTheme="minorEastAsia"/>
          <w:sz w:val="22"/>
        </w:rPr>
        <w:t>质量保障措施</w:t>
      </w:r>
    </w:p>
    <w:p w14:paraId="2CB198BF">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4、</w:t>
      </w:r>
      <w:r>
        <w:rPr>
          <w:rFonts w:hint="eastAsia" w:cs="仿宋" w:asciiTheme="minorEastAsia" w:hAnsiTheme="minorEastAsia" w:eastAsiaTheme="minorEastAsia"/>
          <w:sz w:val="22"/>
        </w:rPr>
        <w:t>同类项目业绩情况</w:t>
      </w:r>
    </w:p>
    <w:p w14:paraId="748A045F">
      <w:pPr>
        <w:spacing w:line="360" w:lineRule="auto"/>
        <w:rPr>
          <w:rFonts w:cs="仿宋" w:asciiTheme="minorEastAsia" w:hAnsiTheme="minorEastAsia" w:eastAsiaTheme="minorEastAsia"/>
          <w:sz w:val="22"/>
          <w:szCs w:val="21"/>
        </w:rPr>
      </w:pPr>
      <w:r>
        <w:rPr>
          <w:rFonts w:hint="eastAsia" w:cs="仿宋" w:asciiTheme="minorEastAsia" w:hAnsiTheme="minorEastAsia" w:eastAsiaTheme="minorEastAsia"/>
          <w:sz w:val="22"/>
          <w:lang w:val="en-US" w:eastAsia="zh-CN"/>
        </w:rPr>
        <w:t>5、</w:t>
      </w:r>
      <w:r>
        <w:rPr>
          <w:rFonts w:hint="eastAsia" w:cs="仿宋" w:asciiTheme="minorEastAsia" w:hAnsiTheme="minorEastAsia" w:eastAsiaTheme="minorEastAsia"/>
          <w:sz w:val="22"/>
        </w:rPr>
        <w:t>诚信情况</w:t>
      </w:r>
    </w:p>
    <w:p w14:paraId="3B818405">
      <w:pPr>
        <w:pStyle w:val="20"/>
        <w:spacing w:after="0" w:line="360" w:lineRule="auto"/>
        <w:ind w:left="0" w:leftChars="0" w:firstLine="0" w:firstLineChars="0"/>
        <w:rPr>
          <w:rFonts w:cs="仿宋" w:asciiTheme="minorEastAsia" w:hAnsiTheme="minorEastAsia" w:eastAsiaTheme="minorEastAsia"/>
          <w:sz w:val="22"/>
          <w:szCs w:val="22"/>
        </w:rPr>
      </w:pPr>
      <w:r>
        <w:rPr>
          <w:rFonts w:hint="eastAsia" w:cs="仿宋" w:asciiTheme="minorEastAsia" w:hAnsiTheme="minorEastAsia" w:eastAsiaTheme="minorEastAsia"/>
          <w:sz w:val="22"/>
          <w:szCs w:val="22"/>
          <w:lang w:val="en-US" w:eastAsia="zh-CN"/>
        </w:rPr>
        <w:t>6</w:t>
      </w:r>
      <w:r>
        <w:rPr>
          <w:rFonts w:hint="eastAsia" w:cs="仿宋" w:asciiTheme="minorEastAsia" w:hAnsiTheme="minorEastAsia" w:eastAsiaTheme="minorEastAsia"/>
          <w:sz w:val="22"/>
          <w:szCs w:val="22"/>
        </w:rPr>
        <w:t>、投标供应商认为必要的其他方案</w:t>
      </w:r>
    </w:p>
    <w:p w14:paraId="09133A9D">
      <w:pPr>
        <w:rPr>
          <w:rFonts w:cs="仿宋" w:asciiTheme="minorEastAsia" w:hAnsiTheme="minorEastAsia" w:eastAsiaTheme="minorEastAsia"/>
          <w:highlight w:val="yellow"/>
        </w:rPr>
      </w:pPr>
    </w:p>
    <w:p w14:paraId="4A0C3ABA">
      <w:pPr>
        <w:widowControl/>
        <w:jc w:val="left"/>
        <w:rPr>
          <w:rFonts w:cs="仿宋" w:asciiTheme="minorEastAsia" w:hAnsiTheme="minorEastAsia" w:eastAsiaTheme="minorEastAsia"/>
        </w:rPr>
      </w:pPr>
      <w:r>
        <w:rPr>
          <w:rFonts w:cs="仿宋" w:asciiTheme="minorEastAsia" w:hAnsiTheme="minorEastAsia" w:eastAsiaTheme="minorEastAsia"/>
        </w:rPr>
        <w:br w:type="page"/>
      </w:r>
    </w:p>
    <w:p w14:paraId="7B286D3F">
      <w:pPr>
        <w:rPr>
          <w:rFonts w:cs="仿宋" w:asciiTheme="minorEastAsia" w:hAnsiTheme="minorEastAsia" w:eastAsiaTheme="minorEastAsia"/>
        </w:rPr>
      </w:pPr>
      <w:r>
        <w:rPr>
          <w:rFonts w:hint="eastAsia" w:cs="仿宋" w:asciiTheme="minorEastAsia" w:hAnsiTheme="minorEastAsia" w:eastAsiaTheme="minorEastAsia"/>
        </w:rPr>
        <w:t>附表1</w:t>
      </w:r>
    </w:p>
    <w:p w14:paraId="528202AC">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项目人员情况一览表</w:t>
      </w:r>
    </w:p>
    <w:tbl>
      <w:tblPr>
        <w:tblStyle w:val="2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851"/>
        <w:gridCol w:w="921"/>
        <w:gridCol w:w="922"/>
        <w:gridCol w:w="1417"/>
        <w:gridCol w:w="1276"/>
        <w:gridCol w:w="1134"/>
        <w:gridCol w:w="1326"/>
      </w:tblGrid>
      <w:tr w14:paraId="039517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75" w:type="dxa"/>
            <w:tcBorders>
              <w:top w:val="double" w:color="auto" w:sz="4" w:space="0"/>
              <w:left w:val="double" w:color="auto" w:sz="4" w:space="0"/>
            </w:tcBorders>
            <w:shd w:val="clear" w:color="auto" w:fill="C6D9F0" w:themeFill="text2" w:themeFillTint="33"/>
            <w:vAlign w:val="center"/>
          </w:tcPr>
          <w:p w14:paraId="75E90C14">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序号</w:t>
            </w:r>
          </w:p>
        </w:tc>
        <w:tc>
          <w:tcPr>
            <w:tcW w:w="851" w:type="dxa"/>
            <w:tcBorders>
              <w:top w:val="double" w:color="auto" w:sz="4" w:space="0"/>
            </w:tcBorders>
            <w:shd w:val="clear" w:color="auto" w:fill="C6D9F0" w:themeFill="text2" w:themeFillTint="33"/>
            <w:vAlign w:val="center"/>
          </w:tcPr>
          <w:p w14:paraId="7C75E479">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类别</w:t>
            </w:r>
          </w:p>
        </w:tc>
        <w:tc>
          <w:tcPr>
            <w:tcW w:w="921" w:type="dxa"/>
            <w:tcBorders>
              <w:top w:val="double" w:color="auto" w:sz="4" w:space="0"/>
            </w:tcBorders>
            <w:shd w:val="clear" w:color="auto" w:fill="C6D9F0" w:themeFill="text2" w:themeFillTint="33"/>
            <w:vAlign w:val="center"/>
          </w:tcPr>
          <w:p w14:paraId="145D741D">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姓名</w:t>
            </w:r>
          </w:p>
        </w:tc>
        <w:tc>
          <w:tcPr>
            <w:tcW w:w="922" w:type="dxa"/>
            <w:tcBorders>
              <w:top w:val="double" w:color="auto" w:sz="4" w:space="0"/>
            </w:tcBorders>
            <w:shd w:val="clear" w:color="auto" w:fill="C6D9F0" w:themeFill="text2" w:themeFillTint="33"/>
            <w:vAlign w:val="center"/>
          </w:tcPr>
          <w:p w14:paraId="1937D2BC">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学历</w:t>
            </w:r>
          </w:p>
        </w:tc>
        <w:tc>
          <w:tcPr>
            <w:tcW w:w="1417" w:type="dxa"/>
            <w:tcBorders>
              <w:top w:val="double" w:color="auto" w:sz="4" w:space="0"/>
            </w:tcBorders>
            <w:shd w:val="clear" w:color="auto" w:fill="C6D9F0" w:themeFill="text2" w:themeFillTint="33"/>
            <w:vAlign w:val="center"/>
          </w:tcPr>
          <w:p w14:paraId="5F6E263B">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岗位及职务</w:t>
            </w:r>
          </w:p>
        </w:tc>
        <w:tc>
          <w:tcPr>
            <w:tcW w:w="1276" w:type="dxa"/>
            <w:tcBorders>
              <w:top w:val="double" w:color="auto" w:sz="4" w:space="0"/>
            </w:tcBorders>
            <w:shd w:val="clear" w:color="auto" w:fill="C6D9F0" w:themeFill="text2" w:themeFillTint="33"/>
            <w:vAlign w:val="center"/>
          </w:tcPr>
          <w:p w14:paraId="1BC0CECC">
            <w:pPr>
              <w:spacing w:line="276" w:lineRule="auto"/>
              <w:ind w:right="-53" w:rightChars="-25"/>
              <w:jc w:val="center"/>
              <w:rPr>
                <w:rFonts w:cs="仿宋" w:asciiTheme="minorEastAsia" w:hAnsiTheme="minorEastAsia" w:eastAsiaTheme="minorEastAsia"/>
                <w:b/>
              </w:rPr>
            </w:pPr>
            <w:r>
              <w:rPr>
                <w:rFonts w:hint="eastAsia" w:cs="仿宋" w:asciiTheme="minorEastAsia" w:hAnsiTheme="minorEastAsia" w:eastAsiaTheme="minorEastAsia"/>
                <w:b/>
              </w:rPr>
              <w:t>持何种资格证件</w:t>
            </w:r>
          </w:p>
        </w:tc>
        <w:tc>
          <w:tcPr>
            <w:tcW w:w="1134" w:type="dxa"/>
            <w:tcBorders>
              <w:top w:val="double" w:color="auto" w:sz="4" w:space="0"/>
            </w:tcBorders>
            <w:shd w:val="clear" w:color="auto" w:fill="C6D9F0" w:themeFill="text2" w:themeFillTint="33"/>
            <w:vAlign w:val="center"/>
          </w:tcPr>
          <w:p w14:paraId="043171B1">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发证时间</w:t>
            </w:r>
          </w:p>
        </w:tc>
        <w:tc>
          <w:tcPr>
            <w:tcW w:w="1326" w:type="dxa"/>
            <w:tcBorders>
              <w:top w:val="double" w:color="auto" w:sz="4" w:space="0"/>
              <w:right w:val="double" w:color="auto" w:sz="4" w:space="0"/>
            </w:tcBorders>
            <w:shd w:val="clear" w:color="auto" w:fill="C6D9F0" w:themeFill="text2" w:themeFillTint="33"/>
            <w:vAlign w:val="center"/>
          </w:tcPr>
          <w:p w14:paraId="7820C391">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工作经验</w:t>
            </w:r>
          </w:p>
        </w:tc>
      </w:tr>
      <w:tr w14:paraId="1197A5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14:paraId="793E7610">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1</w:t>
            </w:r>
          </w:p>
        </w:tc>
        <w:tc>
          <w:tcPr>
            <w:tcW w:w="851" w:type="dxa"/>
            <w:vAlign w:val="center"/>
          </w:tcPr>
          <w:p w14:paraId="321EF82D">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项目负责人</w:t>
            </w:r>
          </w:p>
        </w:tc>
        <w:tc>
          <w:tcPr>
            <w:tcW w:w="921" w:type="dxa"/>
            <w:vAlign w:val="center"/>
          </w:tcPr>
          <w:p w14:paraId="4FD5562B">
            <w:pPr>
              <w:spacing w:line="360" w:lineRule="auto"/>
              <w:jc w:val="center"/>
              <w:rPr>
                <w:rFonts w:cs="仿宋" w:asciiTheme="minorEastAsia" w:hAnsiTheme="minorEastAsia" w:eastAsiaTheme="minorEastAsia"/>
              </w:rPr>
            </w:pPr>
          </w:p>
        </w:tc>
        <w:tc>
          <w:tcPr>
            <w:tcW w:w="922" w:type="dxa"/>
            <w:vAlign w:val="center"/>
          </w:tcPr>
          <w:p w14:paraId="2799BD28">
            <w:pPr>
              <w:spacing w:line="360" w:lineRule="auto"/>
              <w:jc w:val="center"/>
              <w:rPr>
                <w:rFonts w:cs="仿宋" w:asciiTheme="minorEastAsia" w:hAnsiTheme="minorEastAsia" w:eastAsiaTheme="minorEastAsia"/>
              </w:rPr>
            </w:pPr>
          </w:p>
        </w:tc>
        <w:tc>
          <w:tcPr>
            <w:tcW w:w="1417" w:type="dxa"/>
            <w:vAlign w:val="center"/>
          </w:tcPr>
          <w:p w14:paraId="61199F28">
            <w:pPr>
              <w:spacing w:line="360" w:lineRule="auto"/>
              <w:jc w:val="center"/>
              <w:rPr>
                <w:rFonts w:cs="仿宋" w:asciiTheme="minorEastAsia" w:hAnsiTheme="minorEastAsia" w:eastAsiaTheme="minorEastAsia"/>
              </w:rPr>
            </w:pPr>
          </w:p>
        </w:tc>
        <w:tc>
          <w:tcPr>
            <w:tcW w:w="1276" w:type="dxa"/>
            <w:vAlign w:val="center"/>
          </w:tcPr>
          <w:p w14:paraId="29958554">
            <w:pPr>
              <w:spacing w:line="360" w:lineRule="auto"/>
              <w:jc w:val="center"/>
              <w:rPr>
                <w:rFonts w:cs="仿宋" w:asciiTheme="minorEastAsia" w:hAnsiTheme="minorEastAsia" w:eastAsiaTheme="minorEastAsia"/>
              </w:rPr>
            </w:pPr>
          </w:p>
        </w:tc>
        <w:tc>
          <w:tcPr>
            <w:tcW w:w="1134" w:type="dxa"/>
            <w:vAlign w:val="center"/>
          </w:tcPr>
          <w:p w14:paraId="53606729">
            <w:pPr>
              <w:spacing w:line="360" w:lineRule="auto"/>
              <w:jc w:val="center"/>
              <w:rPr>
                <w:rFonts w:cs="仿宋" w:asciiTheme="minorEastAsia" w:hAnsiTheme="minorEastAsia" w:eastAsiaTheme="minorEastAsia"/>
              </w:rPr>
            </w:pPr>
          </w:p>
        </w:tc>
        <w:tc>
          <w:tcPr>
            <w:tcW w:w="1326" w:type="dxa"/>
            <w:tcBorders>
              <w:right w:val="double" w:color="auto" w:sz="4" w:space="0"/>
            </w:tcBorders>
            <w:vAlign w:val="center"/>
          </w:tcPr>
          <w:p w14:paraId="7CFCC6D8">
            <w:pPr>
              <w:spacing w:line="360" w:lineRule="auto"/>
              <w:jc w:val="center"/>
              <w:rPr>
                <w:rFonts w:cs="仿宋" w:asciiTheme="minorEastAsia" w:hAnsiTheme="minorEastAsia" w:eastAsiaTheme="minorEastAsia"/>
              </w:rPr>
            </w:pPr>
          </w:p>
        </w:tc>
      </w:tr>
      <w:tr w14:paraId="456CAE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14:paraId="670714DF">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2</w:t>
            </w:r>
          </w:p>
        </w:tc>
        <w:tc>
          <w:tcPr>
            <w:tcW w:w="851" w:type="dxa"/>
            <w:vMerge w:val="restart"/>
            <w:vAlign w:val="center"/>
          </w:tcPr>
          <w:p w14:paraId="63114E32">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项目团队成员</w:t>
            </w:r>
          </w:p>
        </w:tc>
        <w:tc>
          <w:tcPr>
            <w:tcW w:w="921" w:type="dxa"/>
            <w:vAlign w:val="center"/>
          </w:tcPr>
          <w:p w14:paraId="689C5381">
            <w:pPr>
              <w:spacing w:line="360" w:lineRule="auto"/>
              <w:jc w:val="center"/>
              <w:rPr>
                <w:rFonts w:cs="仿宋" w:asciiTheme="minorEastAsia" w:hAnsiTheme="minorEastAsia" w:eastAsiaTheme="minorEastAsia"/>
              </w:rPr>
            </w:pPr>
          </w:p>
        </w:tc>
        <w:tc>
          <w:tcPr>
            <w:tcW w:w="922" w:type="dxa"/>
            <w:vAlign w:val="center"/>
          </w:tcPr>
          <w:p w14:paraId="70CEBF49">
            <w:pPr>
              <w:spacing w:line="360" w:lineRule="auto"/>
              <w:jc w:val="center"/>
              <w:rPr>
                <w:rFonts w:cs="仿宋" w:asciiTheme="minorEastAsia" w:hAnsiTheme="minorEastAsia" w:eastAsiaTheme="minorEastAsia"/>
              </w:rPr>
            </w:pPr>
          </w:p>
        </w:tc>
        <w:tc>
          <w:tcPr>
            <w:tcW w:w="1417" w:type="dxa"/>
            <w:vAlign w:val="center"/>
          </w:tcPr>
          <w:p w14:paraId="416903AA">
            <w:pPr>
              <w:spacing w:line="360" w:lineRule="auto"/>
              <w:jc w:val="center"/>
              <w:rPr>
                <w:rFonts w:cs="仿宋" w:asciiTheme="minorEastAsia" w:hAnsiTheme="minorEastAsia" w:eastAsiaTheme="minorEastAsia"/>
              </w:rPr>
            </w:pPr>
          </w:p>
        </w:tc>
        <w:tc>
          <w:tcPr>
            <w:tcW w:w="1276" w:type="dxa"/>
            <w:vAlign w:val="center"/>
          </w:tcPr>
          <w:p w14:paraId="588B55E7">
            <w:pPr>
              <w:spacing w:line="360" w:lineRule="auto"/>
              <w:jc w:val="center"/>
              <w:rPr>
                <w:rFonts w:cs="仿宋" w:asciiTheme="minorEastAsia" w:hAnsiTheme="minorEastAsia" w:eastAsiaTheme="minorEastAsia"/>
              </w:rPr>
            </w:pPr>
          </w:p>
        </w:tc>
        <w:tc>
          <w:tcPr>
            <w:tcW w:w="1134" w:type="dxa"/>
            <w:vAlign w:val="center"/>
          </w:tcPr>
          <w:p w14:paraId="2F353F4B">
            <w:pPr>
              <w:spacing w:line="360" w:lineRule="auto"/>
              <w:jc w:val="center"/>
              <w:rPr>
                <w:rFonts w:cs="仿宋" w:asciiTheme="minorEastAsia" w:hAnsiTheme="minorEastAsia" w:eastAsiaTheme="minorEastAsia"/>
              </w:rPr>
            </w:pPr>
          </w:p>
        </w:tc>
        <w:tc>
          <w:tcPr>
            <w:tcW w:w="1326" w:type="dxa"/>
            <w:tcBorders>
              <w:right w:val="double" w:color="auto" w:sz="4" w:space="0"/>
            </w:tcBorders>
            <w:vAlign w:val="center"/>
          </w:tcPr>
          <w:p w14:paraId="633E58B2">
            <w:pPr>
              <w:spacing w:line="360" w:lineRule="auto"/>
              <w:jc w:val="center"/>
              <w:rPr>
                <w:rFonts w:cs="仿宋" w:asciiTheme="minorEastAsia" w:hAnsiTheme="minorEastAsia" w:eastAsiaTheme="minorEastAsia"/>
              </w:rPr>
            </w:pPr>
          </w:p>
        </w:tc>
      </w:tr>
      <w:tr w14:paraId="5B2B0E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14:paraId="36CB5065">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3</w:t>
            </w:r>
          </w:p>
        </w:tc>
        <w:tc>
          <w:tcPr>
            <w:tcW w:w="851" w:type="dxa"/>
            <w:vMerge w:val="continue"/>
            <w:vAlign w:val="center"/>
          </w:tcPr>
          <w:p w14:paraId="50F8BA37">
            <w:pPr>
              <w:spacing w:line="360" w:lineRule="auto"/>
              <w:jc w:val="center"/>
              <w:rPr>
                <w:rFonts w:cs="仿宋" w:asciiTheme="minorEastAsia" w:hAnsiTheme="minorEastAsia" w:eastAsiaTheme="minorEastAsia"/>
              </w:rPr>
            </w:pPr>
          </w:p>
        </w:tc>
        <w:tc>
          <w:tcPr>
            <w:tcW w:w="921" w:type="dxa"/>
            <w:vAlign w:val="center"/>
          </w:tcPr>
          <w:p w14:paraId="0E9651DF">
            <w:pPr>
              <w:spacing w:line="360" w:lineRule="auto"/>
              <w:jc w:val="center"/>
              <w:rPr>
                <w:rFonts w:cs="仿宋" w:asciiTheme="minorEastAsia" w:hAnsiTheme="minorEastAsia" w:eastAsiaTheme="minorEastAsia"/>
              </w:rPr>
            </w:pPr>
          </w:p>
        </w:tc>
        <w:tc>
          <w:tcPr>
            <w:tcW w:w="922" w:type="dxa"/>
            <w:vAlign w:val="center"/>
          </w:tcPr>
          <w:p w14:paraId="70223B72">
            <w:pPr>
              <w:spacing w:line="360" w:lineRule="auto"/>
              <w:jc w:val="center"/>
              <w:rPr>
                <w:rFonts w:cs="仿宋" w:asciiTheme="minorEastAsia" w:hAnsiTheme="minorEastAsia" w:eastAsiaTheme="minorEastAsia"/>
              </w:rPr>
            </w:pPr>
          </w:p>
        </w:tc>
        <w:tc>
          <w:tcPr>
            <w:tcW w:w="1417" w:type="dxa"/>
            <w:vAlign w:val="center"/>
          </w:tcPr>
          <w:p w14:paraId="00F6B837">
            <w:pPr>
              <w:spacing w:line="360" w:lineRule="auto"/>
              <w:jc w:val="center"/>
              <w:rPr>
                <w:rFonts w:cs="仿宋" w:asciiTheme="minorEastAsia" w:hAnsiTheme="minorEastAsia" w:eastAsiaTheme="minorEastAsia"/>
              </w:rPr>
            </w:pPr>
          </w:p>
        </w:tc>
        <w:tc>
          <w:tcPr>
            <w:tcW w:w="1276" w:type="dxa"/>
            <w:vAlign w:val="center"/>
          </w:tcPr>
          <w:p w14:paraId="27C29312">
            <w:pPr>
              <w:spacing w:line="360" w:lineRule="auto"/>
              <w:jc w:val="center"/>
              <w:rPr>
                <w:rFonts w:cs="仿宋" w:asciiTheme="minorEastAsia" w:hAnsiTheme="minorEastAsia" w:eastAsiaTheme="minorEastAsia"/>
              </w:rPr>
            </w:pPr>
          </w:p>
        </w:tc>
        <w:tc>
          <w:tcPr>
            <w:tcW w:w="1134" w:type="dxa"/>
            <w:vAlign w:val="center"/>
          </w:tcPr>
          <w:p w14:paraId="121D853D">
            <w:pPr>
              <w:spacing w:line="360" w:lineRule="auto"/>
              <w:jc w:val="center"/>
              <w:rPr>
                <w:rFonts w:cs="仿宋" w:asciiTheme="minorEastAsia" w:hAnsiTheme="minorEastAsia" w:eastAsiaTheme="minorEastAsia"/>
              </w:rPr>
            </w:pPr>
          </w:p>
        </w:tc>
        <w:tc>
          <w:tcPr>
            <w:tcW w:w="1326" w:type="dxa"/>
            <w:tcBorders>
              <w:right w:val="double" w:color="auto" w:sz="4" w:space="0"/>
            </w:tcBorders>
            <w:vAlign w:val="center"/>
          </w:tcPr>
          <w:p w14:paraId="3F89121E">
            <w:pPr>
              <w:spacing w:line="360" w:lineRule="auto"/>
              <w:jc w:val="center"/>
              <w:rPr>
                <w:rFonts w:cs="仿宋" w:asciiTheme="minorEastAsia" w:hAnsiTheme="minorEastAsia" w:eastAsiaTheme="minorEastAsia"/>
              </w:rPr>
            </w:pPr>
          </w:p>
        </w:tc>
      </w:tr>
      <w:tr w14:paraId="053876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14:paraId="6DEC53A6">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4</w:t>
            </w:r>
          </w:p>
        </w:tc>
        <w:tc>
          <w:tcPr>
            <w:tcW w:w="851" w:type="dxa"/>
            <w:vMerge w:val="continue"/>
            <w:vAlign w:val="center"/>
          </w:tcPr>
          <w:p w14:paraId="25D7E2A0">
            <w:pPr>
              <w:spacing w:line="360" w:lineRule="auto"/>
              <w:jc w:val="center"/>
              <w:rPr>
                <w:rFonts w:cs="仿宋" w:asciiTheme="minorEastAsia" w:hAnsiTheme="minorEastAsia" w:eastAsiaTheme="minorEastAsia"/>
              </w:rPr>
            </w:pPr>
          </w:p>
        </w:tc>
        <w:tc>
          <w:tcPr>
            <w:tcW w:w="921" w:type="dxa"/>
            <w:vAlign w:val="center"/>
          </w:tcPr>
          <w:p w14:paraId="4CBBCA89">
            <w:pPr>
              <w:spacing w:line="360" w:lineRule="auto"/>
              <w:jc w:val="center"/>
              <w:rPr>
                <w:rFonts w:cs="仿宋" w:asciiTheme="minorEastAsia" w:hAnsiTheme="minorEastAsia" w:eastAsiaTheme="minorEastAsia"/>
              </w:rPr>
            </w:pPr>
          </w:p>
        </w:tc>
        <w:tc>
          <w:tcPr>
            <w:tcW w:w="922" w:type="dxa"/>
            <w:vAlign w:val="center"/>
          </w:tcPr>
          <w:p w14:paraId="0BD4BBFF">
            <w:pPr>
              <w:spacing w:line="360" w:lineRule="auto"/>
              <w:jc w:val="center"/>
              <w:rPr>
                <w:rFonts w:cs="仿宋" w:asciiTheme="minorEastAsia" w:hAnsiTheme="minorEastAsia" w:eastAsiaTheme="minorEastAsia"/>
              </w:rPr>
            </w:pPr>
          </w:p>
        </w:tc>
        <w:tc>
          <w:tcPr>
            <w:tcW w:w="1417" w:type="dxa"/>
            <w:vAlign w:val="center"/>
          </w:tcPr>
          <w:p w14:paraId="0DC877F7">
            <w:pPr>
              <w:spacing w:line="360" w:lineRule="auto"/>
              <w:jc w:val="center"/>
              <w:rPr>
                <w:rFonts w:cs="仿宋" w:asciiTheme="minorEastAsia" w:hAnsiTheme="minorEastAsia" w:eastAsiaTheme="minorEastAsia"/>
              </w:rPr>
            </w:pPr>
          </w:p>
        </w:tc>
        <w:tc>
          <w:tcPr>
            <w:tcW w:w="1276" w:type="dxa"/>
            <w:vAlign w:val="center"/>
          </w:tcPr>
          <w:p w14:paraId="31DC3F63">
            <w:pPr>
              <w:spacing w:line="360" w:lineRule="auto"/>
              <w:jc w:val="center"/>
              <w:rPr>
                <w:rFonts w:cs="仿宋" w:asciiTheme="minorEastAsia" w:hAnsiTheme="minorEastAsia" w:eastAsiaTheme="minorEastAsia"/>
              </w:rPr>
            </w:pPr>
          </w:p>
        </w:tc>
        <w:tc>
          <w:tcPr>
            <w:tcW w:w="1134" w:type="dxa"/>
            <w:vAlign w:val="center"/>
          </w:tcPr>
          <w:p w14:paraId="6A88CBB0">
            <w:pPr>
              <w:spacing w:line="360" w:lineRule="auto"/>
              <w:jc w:val="center"/>
              <w:rPr>
                <w:rFonts w:cs="仿宋" w:asciiTheme="minorEastAsia" w:hAnsiTheme="minorEastAsia" w:eastAsiaTheme="minorEastAsia"/>
              </w:rPr>
            </w:pPr>
          </w:p>
        </w:tc>
        <w:tc>
          <w:tcPr>
            <w:tcW w:w="1326" w:type="dxa"/>
            <w:tcBorders>
              <w:right w:val="double" w:color="auto" w:sz="4" w:space="0"/>
            </w:tcBorders>
            <w:vAlign w:val="center"/>
          </w:tcPr>
          <w:p w14:paraId="41D026EF">
            <w:pPr>
              <w:spacing w:line="360" w:lineRule="auto"/>
              <w:jc w:val="center"/>
              <w:rPr>
                <w:rFonts w:cs="仿宋" w:asciiTheme="minorEastAsia" w:hAnsiTheme="minorEastAsia" w:eastAsiaTheme="minorEastAsia"/>
              </w:rPr>
            </w:pPr>
          </w:p>
        </w:tc>
      </w:tr>
      <w:tr w14:paraId="02FA01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bottom w:val="double" w:color="auto" w:sz="4" w:space="0"/>
            </w:tcBorders>
            <w:vAlign w:val="center"/>
          </w:tcPr>
          <w:p w14:paraId="127EC601">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5</w:t>
            </w:r>
          </w:p>
        </w:tc>
        <w:tc>
          <w:tcPr>
            <w:tcW w:w="851" w:type="dxa"/>
            <w:vMerge w:val="continue"/>
            <w:tcBorders>
              <w:bottom w:val="double" w:color="auto" w:sz="4" w:space="0"/>
            </w:tcBorders>
            <w:vAlign w:val="center"/>
          </w:tcPr>
          <w:p w14:paraId="66720730">
            <w:pPr>
              <w:spacing w:line="360" w:lineRule="auto"/>
              <w:jc w:val="center"/>
              <w:rPr>
                <w:rFonts w:cs="仿宋" w:asciiTheme="minorEastAsia" w:hAnsiTheme="minorEastAsia" w:eastAsiaTheme="minorEastAsia"/>
              </w:rPr>
            </w:pPr>
          </w:p>
        </w:tc>
        <w:tc>
          <w:tcPr>
            <w:tcW w:w="921" w:type="dxa"/>
            <w:tcBorders>
              <w:bottom w:val="double" w:color="auto" w:sz="4" w:space="0"/>
            </w:tcBorders>
            <w:vAlign w:val="center"/>
          </w:tcPr>
          <w:p w14:paraId="029A8136">
            <w:pPr>
              <w:spacing w:line="360" w:lineRule="auto"/>
              <w:jc w:val="center"/>
              <w:rPr>
                <w:rFonts w:cs="仿宋" w:asciiTheme="minorEastAsia" w:hAnsiTheme="minorEastAsia" w:eastAsiaTheme="minorEastAsia"/>
              </w:rPr>
            </w:pPr>
          </w:p>
        </w:tc>
        <w:tc>
          <w:tcPr>
            <w:tcW w:w="922" w:type="dxa"/>
            <w:tcBorders>
              <w:bottom w:val="double" w:color="auto" w:sz="4" w:space="0"/>
            </w:tcBorders>
            <w:vAlign w:val="center"/>
          </w:tcPr>
          <w:p w14:paraId="7EC6E1B1">
            <w:pPr>
              <w:spacing w:line="360" w:lineRule="auto"/>
              <w:jc w:val="center"/>
              <w:rPr>
                <w:rFonts w:cs="仿宋" w:asciiTheme="minorEastAsia" w:hAnsiTheme="minorEastAsia" w:eastAsiaTheme="minorEastAsia"/>
              </w:rPr>
            </w:pPr>
          </w:p>
        </w:tc>
        <w:tc>
          <w:tcPr>
            <w:tcW w:w="1417" w:type="dxa"/>
            <w:tcBorders>
              <w:bottom w:val="double" w:color="auto" w:sz="4" w:space="0"/>
            </w:tcBorders>
            <w:vAlign w:val="center"/>
          </w:tcPr>
          <w:p w14:paraId="690F066B">
            <w:pPr>
              <w:spacing w:line="360" w:lineRule="auto"/>
              <w:jc w:val="center"/>
              <w:rPr>
                <w:rFonts w:cs="仿宋" w:asciiTheme="minorEastAsia" w:hAnsiTheme="minorEastAsia" w:eastAsiaTheme="minorEastAsia"/>
              </w:rPr>
            </w:pPr>
          </w:p>
        </w:tc>
        <w:tc>
          <w:tcPr>
            <w:tcW w:w="1276" w:type="dxa"/>
            <w:tcBorders>
              <w:bottom w:val="double" w:color="auto" w:sz="4" w:space="0"/>
            </w:tcBorders>
            <w:vAlign w:val="center"/>
          </w:tcPr>
          <w:p w14:paraId="465DB259">
            <w:pPr>
              <w:spacing w:line="360" w:lineRule="auto"/>
              <w:jc w:val="center"/>
              <w:rPr>
                <w:rFonts w:cs="仿宋" w:asciiTheme="minorEastAsia" w:hAnsiTheme="minorEastAsia" w:eastAsiaTheme="minorEastAsia"/>
              </w:rPr>
            </w:pPr>
          </w:p>
        </w:tc>
        <w:tc>
          <w:tcPr>
            <w:tcW w:w="1134" w:type="dxa"/>
            <w:tcBorders>
              <w:bottom w:val="double" w:color="auto" w:sz="4" w:space="0"/>
            </w:tcBorders>
            <w:vAlign w:val="center"/>
          </w:tcPr>
          <w:p w14:paraId="560C16B6">
            <w:pPr>
              <w:spacing w:line="360" w:lineRule="auto"/>
              <w:jc w:val="center"/>
              <w:rPr>
                <w:rFonts w:cs="仿宋" w:asciiTheme="minorEastAsia" w:hAnsiTheme="minorEastAsia" w:eastAsiaTheme="minorEastAsia"/>
              </w:rPr>
            </w:pPr>
          </w:p>
        </w:tc>
        <w:tc>
          <w:tcPr>
            <w:tcW w:w="1326" w:type="dxa"/>
            <w:tcBorders>
              <w:bottom w:val="double" w:color="auto" w:sz="4" w:space="0"/>
              <w:right w:val="double" w:color="auto" w:sz="4" w:space="0"/>
            </w:tcBorders>
            <w:vAlign w:val="center"/>
          </w:tcPr>
          <w:p w14:paraId="041F42FE">
            <w:pPr>
              <w:spacing w:line="360" w:lineRule="auto"/>
              <w:jc w:val="center"/>
              <w:rPr>
                <w:rFonts w:cs="仿宋" w:asciiTheme="minorEastAsia" w:hAnsiTheme="minorEastAsia" w:eastAsiaTheme="minorEastAsia"/>
              </w:rPr>
            </w:pPr>
          </w:p>
        </w:tc>
      </w:tr>
    </w:tbl>
    <w:p w14:paraId="71DE2E95">
      <w:pPr>
        <w:jc w:val="center"/>
        <w:rPr>
          <w:rFonts w:cs="仿宋" w:asciiTheme="minorEastAsia" w:hAnsiTheme="minorEastAsia" w:eastAsiaTheme="minorEastAsia"/>
          <w:b/>
          <w:sz w:val="32"/>
          <w:szCs w:val="32"/>
        </w:rPr>
      </w:pPr>
    </w:p>
    <w:p w14:paraId="7F475098">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14:paraId="5DE8215B">
      <w:pPr>
        <w:spacing w:line="360" w:lineRule="auto"/>
        <w:rPr>
          <w:rFonts w:cs="仿宋" w:asciiTheme="minorEastAsia" w:hAnsiTheme="minorEastAsia" w:eastAsiaTheme="minorEastAsia"/>
        </w:rPr>
      </w:pPr>
    </w:p>
    <w:p w14:paraId="4458AA50">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法定代表人或其授权代表：（</w:t>
      </w:r>
      <w:r>
        <w:rPr>
          <w:rFonts w:hint="eastAsia" w:cs="仿宋" w:asciiTheme="minorEastAsia" w:hAnsiTheme="minorEastAsia" w:eastAsiaTheme="minorEastAsia"/>
          <w:snapToGrid w:val="0"/>
          <w:kern w:val="0"/>
        </w:rPr>
        <w:t>签字或盖章</w:t>
      </w:r>
      <w:r>
        <w:rPr>
          <w:rFonts w:hint="eastAsia" w:cs="仿宋" w:asciiTheme="minorEastAsia" w:hAnsiTheme="minorEastAsia" w:eastAsiaTheme="minorEastAsia"/>
        </w:rPr>
        <w:t>）</w:t>
      </w:r>
    </w:p>
    <w:p w14:paraId="5540E77A">
      <w:pPr>
        <w:spacing w:line="360" w:lineRule="auto"/>
        <w:ind w:firstLine="630"/>
        <w:rPr>
          <w:rFonts w:cs="仿宋" w:asciiTheme="minorEastAsia" w:hAnsiTheme="minorEastAsia" w:eastAsiaTheme="minorEastAsia"/>
        </w:rPr>
      </w:pPr>
    </w:p>
    <w:p w14:paraId="39426BAB">
      <w:pPr>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5873DC84">
      <w:pPr>
        <w:autoSpaceDE w:val="0"/>
        <w:autoSpaceDN w:val="0"/>
        <w:adjustRightInd w:val="0"/>
        <w:spacing w:line="360" w:lineRule="auto"/>
        <w:rPr>
          <w:rFonts w:cs="仿宋" w:asciiTheme="minorEastAsia" w:hAnsiTheme="minorEastAsia" w:eastAsiaTheme="minorEastAsia"/>
          <w:b/>
          <w:color w:val="FF0000"/>
          <w:sz w:val="22"/>
        </w:rPr>
      </w:pPr>
    </w:p>
    <w:p w14:paraId="4C8BC411">
      <w:pPr>
        <w:autoSpaceDE w:val="0"/>
        <w:autoSpaceDN w:val="0"/>
        <w:adjustRightInd w:val="0"/>
        <w:spacing w:line="360" w:lineRule="auto"/>
        <w:rPr>
          <w:rFonts w:cs="仿宋" w:asciiTheme="minorEastAsia" w:hAnsiTheme="minorEastAsia" w:eastAsiaTheme="minorEastAsia"/>
          <w:b/>
          <w:color w:val="FF0000"/>
        </w:rPr>
      </w:pPr>
      <w:r>
        <w:rPr>
          <w:rFonts w:hint="eastAsia" w:cs="仿宋" w:asciiTheme="minorEastAsia" w:hAnsiTheme="minorEastAsia" w:eastAsiaTheme="minorEastAsia"/>
          <w:b/>
          <w:color w:val="FF0000"/>
          <w:sz w:val="22"/>
        </w:rPr>
        <w:t>注：</w:t>
      </w:r>
      <w:r>
        <w:rPr>
          <w:rFonts w:hint="eastAsia" w:cs="仿宋" w:asciiTheme="minorEastAsia" w:hAnsiTheme="minorEastAsia" w:eastAsiaTheme="minorEastAsia"/>
          <w:b/>
          <w:color w:val="FF0000"/>
        </w:rPr>
        <w:t xml:space="preserve"> </w:t>
      </w:r>
    </w:p>
    <w:p w14:paraId="4088E0D9">
      <w:pPr>
        <w:tabs>
          <w:tab w:val="left" w:pos="170"/>
        </w:tabs>
        <w:autoSpaceDE w:val="0"/>
        <w:autoSpaceDN w:val="0"/>
        <w:adjustRightInd w:val="0"/>
        <w:spacing w:line="360" w:lineRule="auto"/>
        <w:ind w:firstLine="210" w:firstLineChars="100"/>
        <w:rPr>
          <w:rFonts w:cs="仿宋" w:asciiTheme="minorEastAsia" w:hAnsiTheme="minorEastAsia" w:eastAsiaTheme="minorEastAsia"/>
        </w:rPr>
      </w:pPr>
      <w:r>
        <w:rPr>
          <w:rFonts w:hint="eastAsia" w:cs="仿宋" w:asciiTheme="minorEastAsia" w:hAnsiTheme="minorEastAsia" w:eastAsiaTheme="minorEastAsia"/>
        </w:rPr>
        <w:t>1、填写时，如本表格不适合投标单位的实际情况，可根据本表格格式自行划表填写。</w:t>
      </w:r>
    </w:p>
    <w:p w14:paraId="69F3F75D">
      <w:pPr>
        <w:tabs>
          <w:tab w:val="left" w:pos="170"/>
        </w:tabs>
        <w:autoSpaceDE w:val="0"/>
        <w:autoSpaceDN w:val="0"/>
        <w:adjustRightInd w:val="0"/>
        <w:spacing w:line="360" w:lineRule="auto"/>
        <w:ind w:firstLine="210" w:firstLineChars="100"/>
        <w:rPr>
          <w:rFonts w:cs="仿宋" w:asciiTheme="minorEastAsia" w:hAnsiTheme="minorEastAsia" w:eastAsiaTheme="minorEastAsia"/>
        </w:rPr>
      </w:pPr>
      <w:r>
        <w:rPr>
          <w:rFonts w:hint="eastAsia" w:cs="仿宋" w:asciiTheme="minorEastAsia" w:hAnsiTheme="minorEastAsia" w:eastAsiaTheme="minorEastAsia"/>
        </w:rPr>
        <w:t>2、有关人员简历及身份证、资格证书及其它证明材料（复印件）需附在本表之后。</w:t>
      </w:r>
    </w:p>
    <w:p w14:paraId="139CEECA">
      <w:pPr>
        <w:tabs>
          <w:tab w:val="left" w:pos="170"/>
        </w:tabs>
        <w:autoSpaceDE w:val="0"/>
        <w:autoSpaceDN w:val="0"/>
        <w:adjustRightInd w:val="0"/>
        <w:spacing w:line="360" w:lineRule="auto"/>
        <w:ind w:firstLine="210" w:firstLineChars="100"/>
        <w:rPr>
          <w:rFonts w:cs="仿宋" w:asciiTheme="minorEastAsia" w:hAnsiTheme="minorEastAsia" w:eastAsiaTheme="minorEastAsia"/>
        </w:rPr>
      </w:pPr>
      <w:r>
        <w:rPr>
          <w:rFonts w:hint="eastAsia" w:cs="仿宋" w:asciiTheme="minorEastAsia" w:hAnsiTheme="minorEastAsia" w:eastAsiaTheme="minorEastAsia"/>
        </w:rPr>
        <w:t>3、本表格所要求填写的人员是指投标单位将安排在此项目的具体人员。</w:t>
      </w:r>
    </w:p>
    <w:p w14:paraId="79BE8688">
      <w:pPr>
        <w:tabs>
          <w:tab w:val="left" w:pos="170"/>
        </w:tabs>
        <w:autoSpaceDE w:val="0"/>
        <w:autoSpaceDN w:val="0"/>
        <w:adjustRightInd w:val="0"/>
        <w:spacing w:line="360" w:lineRule="auto"/>
        <w:ind w:firstLine="210" w:firstLineChars="100"/>
        <w:rPr>
          <w:rFonts w:cs="仿宋" w:asciiTheme="minorEastAsia" w:hAnsiTheme="minorEastAsia" w:eastAsiaTheme="minorEastAsia"/>
        </w:rPr>
      </w:pPr>
    </w:p>
    <w:p w14:paraId="632504A1">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1C07CDC0">
      <w:pPr>
        <w:tabs>
          <w:tab w:val="left" w:pos="170"/>
        </w:tabs>
        <w:autoSpaceDE w:val="0"/>
        <w:autoSpaceDN w:val="0"/>
        <w:adjustRightInd w:val="0"/>
        <w:spacing w:line="360" w:lineRule="auto"/>
        <w:ind w:firstLine="321" w:firstLineChars="100"/>
        <w:jc w:val="center"/>
        <w:rPr>
          <w:rFonts w:cs="仿宋" w:asciiTheme="minorEastAsia" w:hAnsiTheme="minorEastAsia" w:eastAsiaTheme="minorEastAsia"/>
        </w:rPr>
      </w:pPr>
      <w:r>
        <w:rPr>
          <w:rFonts w:hint="eastAsia" w:cs="仿宋" w:asciiTheme="minorEastAsia" w:hAnsiTheme="minorEastAsia" w:eastAsiaTheme="minorEastAsia"/>
          <w:b/>
          <w:sz w:val="32"/>
          <w:szCs w:val="32"/>
        </w:rPr>
        <w:t xml:space="preserve">格式7  </w:t>
      </w:r>
      <w:r>
        <w:rPr>
          <w:rFonts w:hint="eastAsia" w:cs="仿宋" w:asciiTheme="minorEastAsia" w:hAnsiTheme="minorEastAsia" w:eastAsiaTheme="minorEastAsia"/>
          <w:b/>
          <w:bCs/>
          <w:sz w:val="32"/>
          <w:szCs w:val="32"/>
        </w:rPr>
        <w:t>差异表</w:t>
      </w:r>
    </w:p>
    <w:p w14:paraId="67FA3CFC">
      <w:pPr>
        <w:rPr>
          <w:rFonts w:cs="仿宋" w:asciiTheme="minorEastAsia" w:hAnsiTheme="minorEastAsia" w:eastAsiaTheme="minorEastAsia"/>
        </w:rPr>
      </w:pPr>
    </w:p>
    <w:p w14:paraId="1861E5E0">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项目名称：</w:t>
      </w:r>
      <w:r>
        <w:rPr>
          <w:rFonts w:hint="eastAsia" w:cs="仿宋" w:asciiTheme="minorEastAsia" w:hAnsiTheme="minorEastAsia" w:eastAsiaTheme="minorEastAsia"/>
          <w:u w:val="single"/>
        </w:rPr>
        <w:t xml:space="preserve">                </w:t>
      </w:r>
    </w:p>
    <w:p w14:paraId="448331B1">
      <w:pPr>
        <w:spacing w:line="360" w:lineRule="auto"/>
        <w:rPr>
          <w:rFonts w:cs="仿宋" w:asciiTheme="minorEastAsia" w:hAnsiTheme="minorEastAsia" w:eastAsiaTheme="minorEastAsia"/>
          <w:u w:val="single"/>
        </w:rPr>
      </w:pPr>
      <w:r>
        <w:rPr>
          <w:rFonts w:hint="eastAsia" w:cs="仿宋" w:asciiTheme="minorEastAsia" w:hAnsiTheme="minorEastAsia" w:eastAsiaTheme="minorEastAsia"/>
        </w:rPr>
        <w:t>项目编号：</w:t>
      </w:r>
      <w:r>
        <w:rPr>
          <w:rFonts w:hint="eastAsia" w:cs="仿宋" w:asciiTheme="minorEastAsia" w:hAnsiTheme="minorEastAsia" w:eastAsiaTheme="minorEastAsia"/>
          <w:u w:val="single"/>
        </w:rPr>
        <w:t xml:space="preserve">                </w:t>
      </w:r>
    </w:p>
    <w:tbl>
      <w:tblPr>
        <w:tblStyle w:val="22"/>
        <w:tblW w:w="0" w:type="auto"/>
        <w:tblInd w:w="0" w:type="dxa"/>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835"/>
        <w:gridCol w:w="2126"/>
        <w:gridCol w:w="2602"/>
      </w:tblGrid>
      <w:tr w14:paraId="5567DACC">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shd w:val="clear" w:color="auto" w:fill="C6D9F0" w:themeFill="text2" w:themeFillTint="33"/>
            <w:vAlign w:val="center"/>
          </w:tcPr>
          <w:p w14:paraId="56DF7A23">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序号</w:t>
            </w:r>
          </w:p>
        </w:tc>
        <w:tc>
          <w:tcPr>
            <w:tcW w:w="2835" w:type="dxa"/>
            <w:shd w:val="clear" w:color="auto" w:fill="C6D9F0" w:themeFill="text2" w:themeFillTint="33"/>
            <w:vAlign w:val="center"/>
          </w:tcPr>
          <w:p w14:paraId="4CF848CD">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征集文件条款</w:t>
            </w:r>
          </w:p>
        </w:tc>
        <w:tc>
          <w:tcPr>
            <w:tcW w:w="2126" w:type="dxa"/>
            <w:shd w:val="clear" w:color="auto" w:fill="C6D9F0" w:themeFill="text2" w:themeFillTint="33"/>
            <w:vAlign w:val="center"/>
          </w:tcPr>
          <w:p w14:paraId="08702881">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投标文件投标情况</w:t>
            </w:r>
          </w:p>
        </w:tc>
        <w:tc>
          <w:tcPr>
            <w:tcW w:w="2602" w:type="dxa"/>
            <w:shd w:val="clear" w:color="auto" w:fill="C6D9F0" w:themeFill="text2" w:themeFillTint="33"/>
            <w:vAlign w:val="center"/>
          </w:tcPr>
          <w:p w14:paraId="38D1D757">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说明</w:t>
            </w:r>
          </w:p>
        </w:tc>
      </w:tr>
      <w:tr w14:paraId="1ACE6E58">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0BCA2ED3">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1</w:t>
            </w:r>
          </w:p>
        </w:tc>
        <w:tc>
          <w:tcPr>
            <w:tcW w:w="2835" w:type="dxa"/>
            <w:vAlign w:val="center"/>
          </w:tcPr>
          <w:p w14:paraId="234C5A4A">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 xml:space="preserve"> “第二部分采购项目需求”全部采购项目需求条款</w:t>
            </w:r>
          </w:p>
        </w:tc>
        <w:tc>
          <w:tcPr>
            <w:tcW w:w="2126" w:type="dxa"/>
            <w:vAlign w:val="center"/>
          </w:tcPr>
          <w:p w14:paraId="743F8CDA">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全部满足</w:t>
            </w:r>
          </w:p>
        </w:tc>
        <w:tc>
          <w:tcPr>
            <w:tcW w:w="2602" w:type="dxa"/>
            <w:vAlign w:val="center"/>
          </w:tcPr>
          <w:p w14:paraId="0029EC92">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如采购需求要求提供证明材料的，请附在本表后面</w:t>
            </w:r>
          </w:p>
        </w:tc>
      </w:tr>
    </w:tbl>
    <w:p w14:paraId="79BAD648">
      <w:pPr>
        <w:rPr>
          <w:rFonts w:cs="仿宋" w:asciiTheme="minorEastAsia" w:hAnsiTheme="minorEastAsia" w:eastAsiaTheme="minorEastAsia"/>
          <w:bCs/>
        </w:rPr>
      </w:pPr>
      <w:r>
        <w:rPr>
          <w:rFonts w:hint="eastAsia" w:cs="仿宋" w:asciiTheme="minorEastAsia" w:hAnsiTheme="minorEastAsia" w:eastAsiaTheme="minorEastAsia"/>
          <w:b/>
          <w:bCs/>
          <w:color w:val="FF0000"/>
        </w:rPr>
        <w:t>注：</w:t>
      </w:r>
      <w:r>
        <w:rPr>
          <w:rFonts w:hint="eastAsia" w:cs="仿宋" w:asciiTheme="minorEastAsia" w:hAnsiTheme="minorEastAsia" w:eastAsiaTheme="minorEastAsia"/>
          <w:bCs/>
        </w:rPr>
        <w:t>投标文件的技术与商务部分与征集文件有偏差（甚至是细微偏差），都需在本表中列出。</w:t>
      </w:r>
    </w:p>
    <w:p w14:paraId="6432C5EA">
      <w:pPr>
        <w:rPr>
          <w:rFonts w:cs="仿宋" w:asciiTheme="minorEastAsia" w:hAnsiTheme="minorEastAsia" w:eastAsiaTheme="minorEastAsia"/>
          <w:bCs/>
        </w:rPr>
      </w:pPr>
    </w:p>
    <w:p w14:paraId="54EA48E3">
      <w:pPr>
        <w:rPr>
          <w:rFonts w:cs="仿宋" w:asciiTheme="minorEastAsia" w:hAnsiTheme="minorEastAsia" w:eastAsiaTheme="minorEastAsia"/>
          <w:bCs/>
        </w:rPr>
      </w:pPr>
    </w:p>
    <w:p w14:paraId="4392429F">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14:paraId="23FF67BF">
      <w:pPr>
        <w:pStyle w:val="20"/>
        <w:rPr>
          <w:rFonts w:asciiTheme="minorEastAsia" w:hAnsiTheme="minorEastAsia" w:eastAsiaTheme="minorEastAsia"/>
        </w:rPr>
      </w:pPr>
    </w:p>
    <w:p w14:paraId="45A4CD73">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法定代表人或其授权代表：（</w:t>
      </w:r>
      <w:r>
        <w:rPr>
          <w:rFonts w:hint="eastAsia" w:cs="仿宋" w:asciiTheme="minorEastAsia" w:hAnsiTheme="minorEastAsia" w:eastAsiaTheme="minorEastAsia"/>
          <w:snapToGrid w:val="0"/>
          <w:kern w:val="0"/>
        </w:rPr>
        <w:t>签字或盖章</w:t>
      </w:r>
      <w:r>
        <w:rPr>
          <w:rFonts w:hint="eastAsia" w:cs="仿宋" w:asciiTheme="minorEastAsia" w:hAnsiTheme="minorEastAsia" w:eastAsiaTheme="minorEastAsia"/>
        </w:rPr>
        <w:t>）</w:t>
      </w:r>
    </w:p>
    <w:p w14:paraId="73C68F8E">
      <w:pPr>
        <w:spacing w:line="360" w:lineRule="auto"/>
        <w:ind w:firstLine="630"/>
        <w:rPr>
          <w:rFonts w:cs="仿宋" w:asciiTheme="minorEastAsia" w:hAnsiTheme="minorEastAsia" w:eastAsiaTheme="minorEastAsia"/>
        </w:rPr>
      </w:pPr>
    </w:p>
    <w:p w14:paraId="5BE67585">
      <w:pPr>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14:paraId="4C016F03">
      <w:pPr>
        <w:rPr>
          <w:rFonts w:cs="仿宋" w:asciiTheme="minorEastAsia" w:hAnsiTheme="minorEastAsia" w:eastAsiaTheme="minorEastAsia"/>
        </w:rPr>
      </w:pPr>
    </w:p>
    <w:p w14:paraId="212CA8A7">
      <w:pPr>
        <w:widowControl/>
        <w:jc w:val="left"/>
        <w:rPr>
          <w:rFonts w:cs="仿宋" w:asciiTheme="minorEastAsia" w:hAnsiTheme="minorEastAsia" w:eastAsiaTheme="minorEastAsia"/>
        </w:rPr>
      </w:pPr>
    </w:p>
    <w:p w14:paraId="0837AC2C">
      <w:pPr>
        <w:pStyle w:val="20"/>
        <w:rPr>
          <w:rFonts w:cs="仿宋" w:asciiTheme="minorEastAsia" w:hAnsiTheme="minorEastAsia" w:eastAsiaTheme="minorEastAsia"/>
        </w:rPr>
      </w:pPr>
    </w:p>
    <w:p w14:paraId="13F3D9F4">
      <w:pPr>
        <w:pStyle w:val="20"/>
        <w:rPr>
          <w:rFonts w:cs="仿宋" w:asciiTheme="minorEastAsia" w:hAnsiTheme="minorEastAsia" w:eastAsiaTheme="minorEastAsia"/>
        </w:rPr>
      </w:pPr>
    </w:p>
    <w:p w14:paraId="35DE7DD4">
      <w:pPr>
        <w:pStyle w:val="20"/>
        <w:rPr>
          <w:rFonts w:cs="仿宋" w:asciiTheme="minorEastAsia" w:hAnsiTheme="minorEastAsia" w:eastAsiaTheme="minorEastAsia"/>
        </w:rPr>
      </w:pPr>
    </w:p>
    <w:p w14:paraId="66579D22">
      <w:pPr>
        <w:rPr>
          <w:rFonts w:cs="仿宋" w:asciiTheme="minorEastAsia" w:hAnsiTheme="minorEastAsia" w:eastAsiaTheme="minorEastAsia"/>
          <w:b/>
          <w:sz w:val="28"/>
          <w:szCs w:val="32"/>
        </w:rPr>
      </w:pPr>
      <w:r>
        <w:rPr>
          <w:rFonts w:hint="eastAsia" w:cs="仿宋" w:asciiTheme="minorEastAsia" w:hAnsiTheme="minorEastAsia" w:eastAsiaTheme="minorEastAsia"/>
          <w:b/>
          <w:sz w:val="28"/>
          <w:szCs w:val="32"/>
        </w:rPr>
        <w:br w:type="page"/>
      </w:r>
    </w:p>
    <w:p w14:paraId="06FDA8B1">
      <w:pPr>
        <w:jc w:val="center"/>
        <w:rPr>
          <w:rFonts w:cs="仿宋" w:asciiTheme="minorEastAsia" w:hAnsiTheme="minorEastAsia" w:eastAsiaTheme="minorEastAsia"/>
          <w:b/>
          <w:bCs/>
          <w:sz w:val="28"/>
          <w:szCs w:val="32"/>
        </w:rPr>
      </w:pPr>
      <w:r>
        <w:rPr>
          <w:rFonts w:hint="eastAsia" w:cs="仿宋" w:asciiTheme="minorEastAsia" w:hAnsiTheme="minorEastAsia" w:eastAsiaTheme="minorEastAsia"/>
          <w:b/>
          <w:sz w:val="28"/>
          <w:szCs w:val="32"/>
        </w:rPr>
        <w:t xml:space="preserve">格式8  </w:t>
      </w:r>
      <w:r>
        <w:rPr>
          <w:rFonts w:hint="eastAsia" w:cs="仿宋" w:asciiTheme="minorEastAsia" w:hAnsiTheme="minorEastAsia" w:eastAsiaTheme="minorEastAsia"/>
          <w:b/>
          <w:bCs/>
          <w:sz w:val="28"/>
          <w:szCs w:val="32"/>
        </w:rPr>
        <w:t>其他征集文件要求的资料或投标供应商认为需要补充的资料</w:t>
      </w:r>
    </w:p>
    <w:p w14:paraId="6A72318A">
      <w:pPr>
        <w:rPr>
          <w:rFonts w:cs="仿宋" w:asciiTheme="minorEastAsia" w:hAnsiTheme="minorEastAsia" w:eastAsiaTheme="minorEastAsia"/>
        </w:rPr>
      </w:pPr>
    </w:p>
    <w:p w14:paraId="1A49048C">
      <w:pPr>
        <w:widowControl/>
        <w:snapToGrid w:val="0"/>
        <w:spacing w:line="360" w:lineRule="auto"/>
        <w:jc w:val="left"/>
        <w:outlineLvl w:val="4"/>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14:paraId="61C5FF8C">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第七十五条规定：供应商有下列情形的，属于采购条例所称的串通投标行为。</w:t>
      </w:r>
    </w:p>
    <w:p w14:paraId="3EAE0E32">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14:paraId="17439126">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14:paraId="4ABB2E61">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14:paraId="6555BC5A">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14:paraId="7277FD35">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14:paraId="1FD9BD47">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14:paraId="1FCCB9AE">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14:paraId="4643C726">
      <w:pPr>
        <w:widowControl/>
        <w:snapToGrid w:val="0"/>
        <w:spacing w:line="360" w:lineRule="auto"/>
        <w:jc w:val="left"/>
        <w:rPr>
          <w:rFonts w:asciiTheme="minorEastAsia" w:hAnsiTheme="minorEastAsia" w:eastAsiaTheme="minorEastAsia"/>
          <w:color w:val="FF0000"/>
          <w:kern w:val="0"/>
          <w:szCs w:val="21"/>
        </w:rPr>
      </w:pPr>
    </w:p>
    <w:p w14:paraId="5ABDDDD2">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投标供应商提供以下资料（格式自拟）：</w:t>
      </w:r>
    </w:p>
    <w:p w14:paraId="0C77C899">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或税务部门原因暂时无法提供社保证明的，需提供加盖公章的情况说明或者证明材料。）</w:t>
      </w:r>
    </w:p>
    <w:p w14:paraId="3774C52E">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2、其他征集文件要求的资料或投标供应商认为需要补充的资料。</w:t>
      </w:r>
    </w:p>
    <w:p w14:paraId="4F9DDD92">
      <w:pPr>
        <w:widowControl/>
        <w:jc w:val="left"/>
        <w:rPr>
          <w:rFonts w:cs="仿宋" w:asciiTheme="minorEastAsia" w:hAnsiTheme="minorEastAsia" w:eastAsiaTheme="minorEastAsia"/>
          <w:bCs/>
        </w:rPr>
      </w:pPr>
      <w:r>
        <w:rPr>
          <w:rFonts w:hint="eastAsia" w:cs="仿宋" w:asciiTheme="minorEastAsia" w:hAnsiTheme="minorEastAsia" w:eastAsiaTheme="minorEastAsia"/>
          <w:bCs/>
        </w:rPr>
        <w:br w:type="page"/>
      </w:r>
    </w:p>
    <w:p w14:paraId="4E4416DD">
      <w:pPr>
        <w:rPr>
          <w:rFonts w:cs="仿宋" w:asciiTheme="minorEastAsia" w:hAnsiTheme="minorEastAsia" w:eastAsiaTheme="minorEastAsia"/>
        </w:rPr>
      </w:pPr>
    </w:p>
    <w:p w14:paraId="06828AC7">
      <w:pPr>
        <w:pStyle w:val="19"/>
        <w:ind w:firstLine="210"/>
      </w:pPr>
    </w:p>
    <w:p w14:paraId="2CE61067">
      <w:pPr>
        <w:rPr>
          <w:rFonts w:cs="仿宋" w:asciiTheme="minorEastAsia" w:hAnsiTheme="minorEastAsia" w:eastAsiaTheme="minorEastAsia"/>
        </w:rPr>
      </w:pPr>
    </w:p>
    <w:p w14:paraId="060CC9F0">
      <w:pPr>
        <w:rPr>
          <w:rFonts w:cs="仿宋" w:asciiTheme="minorEastAsia" w:hAnsiTheme="minorEastAsia" w:eastAsiaTheme="minorEastAsia"/>
        </w:rPr>
      </w:pPr>
    </w:p>
    <w:p w14:paraId="46312F78">
      <w:pPr>
        <w:rPr>
          <w:rFonts w:cs="仿宋" w:asciiTheme="minorEastAsia" w:hAnsiTheme="minorEastAsia" w:eastAsiaTheme="minorEastAsia"/>
        </w:rPr>
      </w:pPr>
    </w:p>
    <w:p w14:paraId="486E329E">
      <w:pPr>
        <w:rPr>
          <w:rFonts w:cs="仿宋" w:asciiTheme="minorEastAsia" w:hAnsiTheme="minorEastAsia" w:eastAsiaTheme="minorEastAsia"/>
        </w:rPr>
      </w:pPr>
    </w:p>
    <w:p w14:paraId="62683B6D">
      <w:pPr>
        <w:rPr>
          <w:rFonts w:cs="仿宋" w:asciiTheme="minorEastAsia" w:hAnsiTheme="minorEastAsia" w:eastAsiaTheme="minorEastAsia"/>
        </w:rPr>
      </w:pPr>
    </w:p>
    <w:p w14:paraId="5D66245C">
      <w:pPr>
        <w:rPr>
          <w:rFonts w:cs="仿宋" w:asciiTheme="minorEastAsia" w:hAnsiTheme="minorEastAsia" w:eastAsiaTheme="minorEastAsia"/>
        </w:rPr>
      </w:pPr>
    </w:p>
    <w:p w14:paraId="7609E967">
      <w:pPr>
        <w:rPr>
          <w:rFonts w:cs="仿宋" w:asciiTheme="minorEastAsia" w:hAnsiTheme="minorEastAsia" w:eastAsiaTheme="minorEastAsia"/>
        </w:rPr>
      </w:pPr>
    </w:p>
    <w:p w14:paraId="316A3DFE">
      <w:pPr>
        <w:rPr>
          <w:rFonts w:cs="仿宋" w:asciiTheme="minorEastAsia" w:hAnsiTheme="minorEastAsia" w:eastAsiaTheme="minorEastAsia"/>
        </w:rPr>
      </w:pPr>
    </w:p>
    <w:p w14:paraId="6C365FA3">
      <w:pPr>
        <w:rPr>
          <w:rFonts w:cs="仿宋" w:asciiTheme="minorEastAsia" w:hAnsiTheme="minorEastAsia" w:eastAsiaTheme="minorEastAsia"/>
        </w:rPr>
      </w:pPr>
    </w:p>
    <w:p w14:paraId="20D349E6">
      <w:pPr>
        <w:rPr>
          <w:rFonts w:cs="仿宋" w:asciiTheme="minorEastAsia" w:hAnsiTheme="minorEastAsia" w:eastAsiaTheme="minorEastAsia"/>
        </w:rPr>
      </w:pPr>
    </w:p>
    <w:p w14:paraId="450F80E0">
      <w:pPr>
        <w:rPr>
          <w:rFonts w:cs="仿宋" w:asciiTheme="minorEastAsia" w:hAnsiTheme="minorEastAsia" w:eastAsiaTheme="minorEastAsia"/>
        </w:rPr>
      </w:pPr>
    </w:p>
    <w:p w14:paraId="205D3D07">
      <w:pPr>
        <w:rPr>
          <w:rFonts w:cs="仿宋" w:asciiTheme="minorEastAsia" w:hAnsiTheme="minorEastAsia" w:eastAsiaTheme="minorEastAsia"/>
        </w:rPr>
      </w:pPr>
    </w:p>
    <w:p w14:paraId="46B92914">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第四部分</w:t>
      </w:r>
    </w:p>
    <w:p w14:paraId="4A422827">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合同条款</w:t>
      </w:r>
    </w:p>
    <w:p w14:paraId="3A9FA5E8">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774EA1D8">
      <w:pPr>
        <w:adjustRightInd w:val="0"/>
        <w:snapToGrid w:val="0"/>
        <w:spacing w:line="300" w:lineRule="auto"/>
        <w:ind w:left="2"/>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合同条款</w:t>
      </w:r>
    </w:p>
    <w:p w14:paraId="45637FC9">
      <w:pPr>
        <w:pStyle w:val="40"/>
        <w:widowControl w:val="0"/>
        <w:pBdr>
          <w:bottom w:val="none" w:color="auto" w:sz="0" w:space="0"/>
        </w:pBdr>
        <w:adjustRightInd w:val="0"/>
        <w:snapToGrid w:val="0"/>
        <w:spacing w:before="0" w:beforeAutospacing="0" w:after="0" w:afterAutospacing="0" w:line="360" w:lineRule="auto"/>
        <w:textAlignment w:val="auto"/>
        <w:rPr>
          <w:rFonts w:cs="仿宋" w:asciiTheme="minorEastAsia" w:hAnsiTheme="minorEastAsia" w:eastAsiaTheme="minorEastAsia"/>
          <w:b/>
          <w:bCs/>
          <w:snapToGrid w:val="0"/>
          <w:sz w:val="32"/>
          <w:szCs w:val="32"/>
        </w:rPr>
      </w:pPr>
      <w:r>
        <w:rPr>
          <w:rFonts w:hint="eastAsia" w:cs="仿宋" w:asciiTheme="minorEastAsia" w:hAnsiTheme="minorEastAsia" w:eastAsiaTheme="minorEastAsia"/>
          <w:b/>
          <w:bCs/>
          <w:snapToGrid w:val="0"/>
          <w:sz w:val="32"/>
          <w:szCs w:val="32"/>
        </w:rPr>
        <w:t>（仅供参考）</w:t>
      </w:r>
    </w:p>
    <w:p w14:paraId="49B5AEC3">
      <w:pPr>
        <w:spacing w:line="360" w:lineRule="auto"/>
        <w:ind w:firstLine="482" w:firstLineChars="200"/>
        <w:rPr>
          <w:rFonts w:ascii="Times New Roman" w:hAnsi="Times New Roman"/>
          <w:b/>
          <w:sz w:val="24"/>
          <w:szCs w:val="20"/>
        </w:rPr>
      </w:pPr>
      <w:r>
        <w:rPr>
          <w:rFonts w:hint="eastAsia" w:ascii="Times New Roman" w:hAnsi="Times New Roman"/>
          <w:b/>
          <w:sz w:val="24"/>
          <w:szCs w:val="20"/>
        </w:rPr>
        <w:t>重要说明：采购人在签订合同前有权依据征集文件要求和项目实际情况对以下合同内容进行删改或补充。</w:t>
      </w:r>
    </w:p>
    <w:p w14:paraId="0E8469DC">
      <w:pPr>
        <w:pStyle w:val="5"/>
        <w:keepNext w:val="0"/>
        <w:keepLines w:val="0"/>
        <w:pageBreakBefore w:val="0"/>
        <w:widowControl w:val="0"/>
        <w:kinsoku/>
        <w:wordWrap/>
        <w:overflowPunct/>
        <w:topLinePunct w:val="0"/>
        <w:autoSpaceDE/>
        <w:autoSpaceDN/>
        <w:bidi w:val="0"/>
        <w:adjustRightInd/>
        <w:snapToGrid/>
        <w:spacing w:beforeLines="0" w:after="375" w:afterLines="120" w:line="240" w:lineRule="auto"/>
        <w:jc w:val="center"/>
        <w:textAlignment w:val="auto"/>
        <w:rPr>
          <w:rFonts w:hint="eastAsia" w:ascii="宋体" w:hAnsi="宋体" w:eastAsia="宋体" w:cs="宋体"/>
          <w:b w:val="0"/>
          <w:bCs w:val="0"/>
          <w:color w:val="auto"/>
          <w:sz w:val="28"/>
          <w:szCs w:val="28"/>
        </w:rPr>
      </w:pPr>
      <w:r>
        <w:rPr>
          <w:rFonts w:hint="eastAsia" w:ascii="黑体" w:hAnsi="黑体" w:eastAsia="黑体" w:cs="黑体"/>
          <w:b w:val="0"/>
          <w:bCs w:val="0"/>
          <w:color w:val="auto"/>
          <w:sz w:val="28"/>
          <w:szCs w:val="28"/>
        </w:rPr>
        <w:t>政府采购合同协议书</w:t>
      </w:r>
    </w:p>
    <w:p w14:paraId="2238470F">
      <w:pPr>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int="eastAsia" w:ascii="宋体" w:hAnsi="宋体" w:eastAsia="宋体" w:cs="宋体"/>
          <w:color w:val="auto"/>
          <w:szCs w:val="21"/>
          <w:u w:val="single"/>
          <w:lang w:eastAsia="zh-CN"/>
        </w:rPr>
      </w:pPr>
      <w:r>
        <w:rPr>
          <w:rFonts w:hint="eastAsia" w:ascii="宋体" w:hAnsi="宋体" w:eastAsia="宋体" w:cs="宋体"/>
          <w:color w:val="auto"/>
          <w:szCs w:val="21"/>
        </w:rPr>
        <w:t>甲方（全称）：</w:t>
      </w:r>
      <w:r>
        <w:rPr>
          <w:rFonts w:hint="eastAsia" w:ascii="宋体" w:hAnsi="宋体" w:eastAsia="宋体" w:cs="宋体"/>
          <w:color w:val="auto"/>
          <w:szCs w:val="21"/>
          <w:u w:val="single"/>
          <w:lang w:val="en-US" w:eastAsia="zh-CN"/>
        </w:rPr>
        <w:t xml:space="preserve"> </w:t>
      </w:r>
      <w:r>
        <w:rPr>
          <w:rFonts w:hint="eastAsia" w:ascii="宋体" w:hAnsi="宋体" w:eastAsia="宋体" w:cs="宋体"/>
          <w:bCs/>
          <w:color w:val="auto"/>
          <w:szCs w:val="21"/>
          <w:u w:val="single"/>
          <w:lang w:eastAsia="zh-CN"/>
        </w:rPr>
        <w:t>深圳市公安局警察机动训练支队</w:t>
      </w:r>
      <w:r>
        <w:rPr>
          <w:rFonts w:hint="eastAsia" w:ascii="宋体" w:hAnsi="宋体" w:eastAsia="宋体" w:cs="宋体"/>
          <w:color w:val="auto"/>
          <w:szCs w:val="21"/>
          <w:u w:val="single"/>
          <w:lang w:val="en-US" w:eastAsia="zh-CN"/>
        </w:rPr>
        <w:t xml:space="preserve"> </w:t>
      </w:r>
    </w:p>
    <w:p w14:paraId="66A30116">
      <w:pPr>
        <w:keepNext w:val="0"/>
        <w:keepLines w:val="0"/>
        <w:pageBreakBefore w:val="0"/>
        <w:widowControl w:val="0"/>
        <w:kinsoku/>
        <w:wordWrap/>
        <w:overflowPunct/>
        <w:topLinePunct w:val="0"/>
        <w:autoSpaceDE/>
        <w:autoSpaceDN/>
        <w:bidi w:val="0"/>
        <w:adjustRightInd/>
        <w:snapToGrid/>
        <w:spacing w:beforeLines="0" w:after="313" w:afterLines="100" w:line="360" w:lineRule="auto"/>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szCs w:val="21"/>
        </w:rPr>
        <w:t>乙方（全称）：</w:t>
      </w:r>
      <w:r>
        <w:rPr>
          <w:rFonts w:hint="eastAsia" w:ascii="宋体" w:hAnsi="宋体" w:eastAsia="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p>
    <w:p w14:paraId="3B922BB2">
      <w:pPr>
        <w:pStyle w:val="10"/>
        <w:keepNext w:val="0"/>
        <w:keepLines w:val="0"/>
        <w:pageBreakBefore w:val="0"/>
        <w:widowControl w:val="0"/>
        <w:kinsoku/>
        <w:wordWrap/>
        <w:overflowPunct/>
        <w:topLinePunct w:val="0"/>
        <w:autoSpaceDE/>
        <w:autoSpaceDN/>
        <w:bidi w:val="0"/>
        <w:adjustRightInd/>
        <w:snapToGrid/>
        <w:spacing w:before="0" w:beforeLines="0" w:after="63" w:afterLines="20" w:line="360" w:lineRule="auto"/>
        <w:ind w:left="0" w:leftChars="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根据《中华人民共和国政府采购法》、《深圳经济特区政府采购条例》、《中华人民共和国民法典》之规定，以及本采购项目的招标/谈判文件等采购文件、乙方的《投标（响应）文件》及《中标（成交）通知书》，甲乙双方同意签订本合同。具体情况及要求如下：</w:t>
      </w:r>
    </w:p>
    <w:p w14:paraId="1950375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kern w:val="2"/>
          <w:sz w:val="21"/>
          <w:szCs w:val="21"/>
          <w:lang w:val="en-US" w:eastAsia="zh-CN" w:bidi="ar-SA"/>
        </w:rPr>
        <w:t>1.</w:t>
      </w:r>
      <w:r>
        <w:rPr>
          <w:rFonts w:hint="eastAsia" w:ascii="宋体" w:hAnsi="宋体" w:eastAsia="宋体" w:cs="宋体"/>
          <w:b/>
          <w:bCs/>
          <w:color w:val="auto"/>
          <w:szCs w:val="21"/>
        </w:rPr>
        <w:t>项目信息</w:t>
      </w:r>
    </w:p>
    <w:p w14:paraId="0BD0C966">
      <w:pPr>
        <w:ind w:firstLine="420" w:firstLineChars="200"/>
        <w:jc w:val="both"/>
        <w:rPr>
          <w:rFonts w:hint="default" w:ascii="宋体" w:hAnsi="宋体" w:eastAsia="宋体" w:cs="宋体"/>
          <w:color w:val="auto"/>
          <w:szCs w:val="21"/>
          <w:u w:val="single"/>
          <w:lang w:val="en-US"/>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w:t>
      </w:r>
      <w:r>
        <w:rPr>
          <w:rFonts w:hint="eastAsia" w:ascii="宋体" w:hAnsi="宋体" w:eastAsia="宋体" w:cs="宋体"/>
          <w:color w:val="auto"/>
          <w:szCs w:val="21"/>
          <w:u w:val="none"/>
        </w:rPr>
        <w:t>采购项目名称</w:t>
      </w:r>
      <w:r>
        <w:rPr>
          <w:rFonts w:hint="eastAsia" w:ascii="宋体" w:hAnsi="宋体" w:eastAsia="宋体" w:cs="宋体"/>
          <w:color w:val="auto"/>
          <w:szCs w:val="21"/>
          <w:u w:val="none"/>
          <w:lang w:val="en-US" w:eastAsia="zh-CN"/>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b/>
          <w:bCs w:val="0"/>
          <w:color w:val="auto"/>
          <w:szCs w:val="21"/>
          <w:u w:val="single"/>
          <w:lang w:eastAsia="zh-CN"/>
        </w:rPr>
        <w:t>警训支队布草洗涤服务采购项目</w:t>
      </w:r>
      <w:r>
        <w:rPr>
          <w:rFonts w:hint="eastAsia" w:ascii="宋体" w:hAnsi="宋体" w:cs="宋体"/>
          <w:bCs/>
          <w:color w:val="auto"/>
          <w:szCs w:val="21"/>
          <w:u w:val="single"/>
          <w:lang w:val="en-US" w:eastAsia="zh-CN"/>
        </w:rPr>
        <w:t xml:space="preserve"> </w:t>
      </w:r>
    </w:p>
    <w:p w14:paraId="30CACC1E">
      <w:pPr>
        <w:pStyle w:val="10"/>
        <w:keepNext w:val="0"/>
        <w:keepLines w:val="0"/>
        <w:pageBreakBefore w:val="0"/>
        <w:widowControl w:val="0"/>
        <w:numPr>
          <w:ilvl w:val="-1"/>
          <w:numId w:val="0"/>
        </w:numPr>
        <w:tabs>
          <w:tab w:val="left" w:pos="999"/>
        </w:tabs>
        <w:kinsoku/>
        <w:wordWrap/>
        <w:overflowPunct/>
        <w:topLinePunct w:val="0"/>
        <w:autoSpaceDE/>
        <w:autoSpaceDN/>
        <w:bidi w:val="0"/>
        <w:adjustRightInd/>
        <w:snapToGrid/>
        <w:spacing w:before="0" w:beforeLines="0" w:after="0" w:line="360" w:lineRule="auto"/>
        <w:ind w:left="0" w:leftChars="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）项目内容</w:t>
      </w:r>
      <w:r>
        <w:rPr>
          <w:rFonts w:hint="eastAsia" w:ascii="宋体" w:hAnsi="宋体" w:cs="宋体"/>
          <w:color w:val="auto"/>
          <w:szCs w:val="21"/>
          <w:lang w:val="en-US" w:eastAsia="zh-CN"/>
        </w:rPr>
        <w:t>以及洗涤服务费基准价</w:t>
      </w:r>
      <w:r>
        <w:rPr>
          <w:rFonts w:hint="eastAsia" w:ascii="宋体" w:hAnsi="宋体" w:eastAsia="宋体" w:cs="宋体"/>
          <w:color w:val="auto"/>
          <w:szCs w:val="21"/>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145"/>
        <w:gridCol w:w="2955"/>
        <w:gridCol w:w="682"/>
        <w:gridCol w:w="683"/>
        <w:gridCol w:w="1139"/>
      </w:tblGrid>
      <w:tr w14:paraId="5527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58D1C9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序号</w:t>
            </w:r>
          </w:p>
        </w:tc>
        <w:tc>
          <w:tcPr>
            <w:tcW w:w="2145" w:type="dxa"/>
            <w:vAlign w:val="center"/>
          </w:tcPr>
          <w:p w14:paraId="02E803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洗涤单品名称</w:t>
            </w:r>
          </w:p>
        </w:tc>
        <w:tc>
          <w:tcPr>
            <w:tcW w:w="2955" w:type="dxa"/>
            <w:vAlign w:val="center"/>
          </w:tcPr>
          <w:p w14:paraId="0D3597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服务描述</w:t>
            </w:r>
          </w:p>
        </w:tc>
        <w:tc>
          <w:tcPr>
            <w:tcW w:w="682" w:type="dxa"/>
            <w:vAlign w:val="center"/>
          </w:tcPr>
          <w:p w14:paraId="5525B3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数量</w:t>
            </w:r>
          </w:p>
        </w:tc>
        <w:tc>
          <w:tcPr>
            <w:tcW w:w="683" w:type="dxa"/>
            <w:vAlign w:val="center"/>
          </w:tcPr>
          <w:p w14:paraId="526C2E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单位</w:t>
            </w:r>
          </w:p>
        </w:tc>
        <w:tc>
          <w:tcPr>
            <w:tcW w:w="1139" w:type="dxa"/>
            <w:vAlign w:val="center"/>
          </w:tcPr>
          <w:p w14:paraId="0C69B1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单价</w:t>
            </w:r>
            <w:r>
              <w:rPr>
                <w:rFonts w:hint="eastAsia" w:ascii="宋体" w:hAnsi="宋体" w:cs="宋体"/>
                <w:b w:val="0"/>
                <w:bCs w:val="0"/>
                <w:i w:val="0"/>
                <w:iCs w:val="0"/>
                <w:color w:val="000000"/>
                <w:kern w:val="0"/>
                <w:sz w:val="21"/>
                <w:szCs w:val="21"/>
                <w:u w:val="none"/>
                <w:lang w:val="en-US" w:eastAsia="zh-CN" w:bidi="ar"/>
              </w:rPr>
              <w:t>限价</w:t>
            </w:r>
          </w:p>
        </w:tc>
      </w:tr>
      <w:tr w14:paraId="74A6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3C6ED3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2145" w:type="dxa"/>
            <w:vAlign w:val="center"/>
          </w:tcPr>
          <w:p w14:paraId="5E4BA6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床单/床笠</w:t>
            </w:r>
          </w:p>
        </w:tc>
        <w:tc>
          <w:tcPr>
            <w:tcW w:w="2955" w:type="dxa"/>
            <w:vAlign w:val="center"/>
          </w:tcPr>
          <w:p w14:paraId="13A6D605">
            <w:pPr>
              <w:keepNext w:val="0"/>
              <w:keepLines w:val="0"/>
              <w:pageBreakBefore w:val="0"/>
              <w:widowControl/>
              <w:suppressLineNumbers w:val="0"/>
              <w:tabs>
                <w:tab w:val="left" w:pos="8610"/>
              </w:tabs>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5D0F61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7E2919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323F963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3.50</w:t>
            </w:r>
            <w:r>
              <w:rPr>
                <w:rFonts w:hint="eastAsia" w:ascii="宋体" w:hAnsi="宋体" w:cs="宋体"/>
                <w:b w:val="0"/>
                <w:bCs w:val="0"/>
                <w:i w:val="0"/>
                <w:iCs w:val="0"/>
                <w:color w:val="000000"/>
                <w:kern w:val="0"/>
                <w:sz w:val="21"/>
                <w:szCs w:val="21"/>
                <w:u w:val="none"/>
                <w:lang w:val="en-US" w:eastAsia="zh-CN" w:bidi="ar"/>
              </w:rPr>
              <w:t>元</w:t>
            </w:r>
          </w:p>
        </w:tc>
      </w:tr>
      <w:tr w14:paraId="2110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490371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2</w:t>
            </w:r>
          </w:p>
        </w:tc>
        <w:tc>
          <w:tcPr>
            <w:tcW w:w="2145" w:type="dxa"/>
            <w:vAlign w:val="center"/>
          </w:tcPr>
          <w:p w14:paraId="16764E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被套</w:t>
            </w:r>
          </w:p>
        </w:tc>
        <w:tc>
          <w:tcPr>
            <w:tcW w:w="2955" w:type="dxa"/>
            <w:vAlign w:val="center"/>
          </w:tcPr>
          <w:p w14:paraId="62ABC2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021C57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1236FE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20C620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5.50</w:t>
            </w:r>
            <w:r>
              <w:rPr>
                <w:rFonts w:hint="eastAsia" w:ascii="宋体" w:hAnsi="宋体" w:cs="宋体"/>
                <w:b w:val="0"/>
                <w:bCs w:val="0"/>
                <w:i w:val="0"/>
                <w:iCs w:val="0"/>
                <w:color w:val="000000"/>
                <w:kern w:val="0"/>
                <w:sz w:val="21"/>
                <w:szCs w:val="21"/>
                <w:u w:val="none"/>
                <w:lang w:val="en-US" w:eastAsia="zh-CN" w:bidi="ar"/>
              </w:rPr>
              <w:t>元</w:t>
            </w:r>
          </w:p>
        </w:tc>
      </w:tr>
      <w:tr w14:paraId="108D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7519D9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3</w:t>
            </w:r>
          </w:p>
        </w:tc>
        <w:tc>
          <w:tcPr>
            <w:tcW w:w="2145" w:type="dxa"/>
            <w:vAlign w:val="center"/>
          </w:tcPr>
          <w:p w14:paraId="2DD0C5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枕套</w:t>
            </w:r>
          </w:p>
        </w:tc>
        <w:tc>
          <w:tcPr>
            <w:tcW w:w="2955" w:type="dxa"/>
            <w:vAlign w:val="center"/>
          </w:tcPr>
          <w:p w14:paraId="418C3C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64D172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5FD37C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41FA0F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1.50</w:t>
            </w:r>
            <w:r>
              <w:rPr>
                <w:rFonts w:hint="eastAsia" w:ascii="宋体" w:hAnsi="宋体" w:cs="宋体"/>
                <w:b w:val="0"/>
                <w:bCs w:val="0"/>
                <w:i w:val="0"/>
                <w:iCs w:val="0"/>
                <w:color w:val="000000"/>
                <w:kern w:val="0"/>
                <w:sz w:val="21"/>
                <w:szCs w:val="21"/>
                <w:u w:val="none"/>
                <w:lang w:val="en-US" w:eastAsia="zh-CN" w:bidi="ar"/>
              </w:rPr>
              <w:t>元</w:t>
            </w:r>
          </w:p>
        </w:tc>
      </w:tr>
      <w:tr w14:paraId="75DA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704E25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4</w:t>
            </w:r>
          </w:p>
        </w:tc>
        <w:tc>
          <w:tcPr>
            <w:tcW w:w="2145" w:type="dxa"/>
            <w:vAlign w:val="center"/>
          </w:tcPr>
          <w:p w14:paraId="2A13E2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棉被（干洗）</w:t>
            </w:r>
          </w:p>
        </w:tc>
        <w:tc>
          <w:tcPr>
            <w:tcW w:w="2955" w:type="dxa"/>
            <w:vAlign w:val="center"/>
          </w:tcPr>
          <w:p w14:paraId="7C7572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7E33D1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1B582D2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31F9C7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20.00</w:t>
            </w:r>
            <w:r>
              <w:rPr>
                <w:rFonts w:hint="eastAsia" w:ascii="宋体" w:hAnsi="宋体" w:cs="宋体"/>
                <w:b w:val="0"/>
                <w:bCs w:val="0"/>
                <w:i w:val="0"/>
                <w:iCs w:val="0"/>
                <w:color w:val="000000"/>
                <w:kern w:val="0"/>
                <w:sz w:val="21"/>
                <w:szCs w:val="21"/>
                <w:u w:val="none"/>
                <w:lang w:val="en-US" w:eastAsia="zh-CN" w:bidi="ar"/>
              </w:rPr>
              <w:t>元</w:t>
            </w:r>
          </w:p>
        </w:tc>
      </w:tr>
      <w:tr w14:paraId="1F92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28FBF0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5</w:t>
            </w:r>
          </w:p>
        </w:tc>
        <w:tc>
          <w:tcPr>
            <w:tcW w:w="2145" w:type="dxa"/>
            <w:vAlign w:val="center"/>
          </w:tcPr>
          <w:p w14:paraId="3E343B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枕头/枕芯（干洗）</w:t>
            </w:r>
          </w:p>
        </w:tc>
        <w:tc>
          <w:tcPr>
            <w:tcW w:w="2955" w:type="dxa"/>
            <w:vAlign w:val="center"/>
          </w:tcPr>
          <w:p w14:paraId="0560CB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1A066D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2A6CFCE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272E72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10.00</w:t>
            </w:r>
            <w:r>
              <w:rPr>
                <w:rFonts w:hint="eastAsia" w:ascii="宋体" w:hAnsi="宋体" w:cs="宋体"/>
                <w:b w:val="0"/>
                <w:bCs w:val="0"/>
                <w:i w:val="0"/>
                <w:iCs w:val="0"/>
                <w:color w:val="000000"/>
                <w:kern w:val="0"/>
                <w:sz w:val="21"/>
                <w:szCs w:val="21"/>
                <w:u w:val="none"/>
                <w:lang w:val="en-US" w:eastAsia="zh-CN" w:bidi="ar"/>
              </w:rPr>
              <w:t>元</w:t>
            </w:r>
          </w:p>
        </w:tc>
      </w:tr>
      <w:tr w14:paraId="2122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6A4DA52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6</w:t>
            </w:r>
          </w:p>
        </w:tc>
        <w:tc>
          <w:tcPr>
            <w:tcW w:w="2145" w:type="dxa"/>
            <w:vAlign w:val="center"/>
          </w:tcPr>
          <w:p w14:paraId="7D53FB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床褥（保护垫）</w:t>
            </w:r>
          </w:p>
        </w:tc>
        <w:tc>
          <w:tcPr>
            <w:tcW w:w="2955" w:type="dxa"/>
            <w:vAlign w:val="center"/>
          </w:tcPr>
          <w:p w14:paraId="7B6225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03372C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3EF4F6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089105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12.00</w:t>
            </w:r>
            <w:r>
              <w:rPr>
                <w:rFonts w:hint="eastAsia" w:ascii="宋体" w:hAnsi="宋体" w:cs="宋体"/>
                <w:b w:val="0"/>
                <w:bCs w:val="0"/>
                <w:i w:val="0"/>
                <w:iCs w:val="0"/>
                <w:color w:val="000000"/>
                <w:kern w:val="0"/>
                <w:sz w:val="21"/>
                <w:szCs w:val="21"/>
                <w:u w:val="none"/>
                <w:lang w:val="en-US" w:eastAsia="zh-CN" w:bidi="ar"/>
              </w:rPr>
              <w:t>元</w:t>
            </w:r>
          </w:p>
        </w:tc>
      </w:tr>
      <w:tr w14:paraId="5E3F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7A8BFE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7</w:t>
            </w:r>
          </w:p>
        </w:tc>
        <w:tc>
          <w:tcPr>
            <w:tcW w:w="2145" w:type="dxa"/>
            <w:vAlign w:val="center"/>
          </w:tcPr>
          <w:p w14:paraId="25F72A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浴袍</w:t>
            </w:r>
          </w:p>
        </w:tc>
        <w:tc>
          <w:tcPr>
            <w:tcW w:w="2955" w:type="dxa"/>
            <w:vAlign w:val="center"/>
          </w:tcPr>
          <w:p w14:paraId="47BA0E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1E1AD4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21E5A2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3BF278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5.00</w:t>
            </w:r>
            <w:r>
              <w:rPr>
                <w:rFonts w:hint="eastAsia" w:ascii="宋体" w:hAnsi="宋体" w:cs="宋体"/>
                <w:b w:val="0"/>
                <w:bCs w:val="0"/>
                <w:i w:val="0"/>
                <w:iCs w:val="0"/>
                <w:color w:val="000000"/>
                <w:kern w:val="0"/>
                <w:sz w:val="21"/>
                <w:szCs w:val="21"/>
                <w:u w:val="none"/>
                <w:lang w:val="en-US" w:eastAsia="zh-CN" w:bidi="ar"/>
              </w:rPr>
              <w:t>元</w:t>
            </w:r>
          </w:p>
        </w:tc>
      </w:tr>
      <w:tr w14:paraId="01D9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399660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8</w:t>
            </w:r>
          </w:p>
        </w:tc>
        <w:tc>
          <w:tcPr>
            <w:tcW w:w="2145" w:type="dxa"/>
            <w:vAlign w:val="center"/>
          </w:tcPr>
          <w:p w14:paraId="6924E7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毛巾</w:t>
            </w:r>
          </w:p>
        </w:tc>
        <w:tc>
          <w:tcPr>
            <w:tcW w:w="2955" w:type="dxa"/>
            <w:vAlign w:val="center"/>
          </w:tcPr>
          <w:p w14:paraId="454B97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1D58F8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59C5A6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62A804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1.20</w:t>
            </w:r>
            <w:r>
              <w:rPr>
                <w:rFonts w:hint="eastAsia" w:ascii="宋体" w:hAnsi="宋体" w:cs="宋体"/>
                <w:b w:val="0"/>
                <w:bCs w:val="0"/>
                <w:i w:val="0"/>
                <w:iCs w:val="0"/>
                <w:color w:val="000000"/>
                <w:kern w:val="0"/>
                <w:sz w:val="21"/>
                <w:szCs w:val="21"/>
                <w:u w:val="none"/>
                <w:lang w:val="en-US" w:eastAsia="zh-CN" w:bidi="ar"/>
              </w:rPr>
              <w:t>元</w:t>
            </w:r>
          </w:p>
        </w:tc>
      </w:tr>
      <w:tr w14:paraId="3FE5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46ABCF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9</w:t>
            </w:r>
          </w:p>
        </w:tc>
        <w:tc>
          <w:tcPr>
            <w:tcW w:w="2145" w:type="dxa"/>
            <w:vAlign w:val="center"/>
          </w:tcPr>
          <w:p w14:paraId="25A71D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浴巾</w:t>
            </w:r>
          </w:p>
        </w:tc>
        <w:tc>
          <w:tcPr>
            <w:tcW w:w="2955" w:type="dxa"/>
            <w:vAlign w:val="center"/>
          </w:tcPr>
          <w:p w14:paraId="3A1923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45B1247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04BF06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60023B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2.50</w:t>
            </w:r>
            <w:r>
              <w:rPr>
                <w:rFonts w:hint="eastAsia" w:ascii="宋体" w:hAnsi="宋体" w:cs="宋体"/>
                <w:b w:val="0"/>
                <w:bCs w:val="0"/>
                <w:i w:val="0"/>
                <w:iCs w:val="0"/>
                <w:color w:val="000000"/>
                <w:kern w:val="0"/>
                <w:sz w:val="21"/>
                <w:szCs w:val="21"/>
                <w:u w:val="none"/>
                <w:lang w:val="en-US" w:eastAsia="zh-CN" w:bidi="ar"/>
              </w:rPr>
              <w:t>元</w:t>
            </w:r>
          </w:p>
        </w:tc>
      </w:tr>
      <w:tr w14:paraId="3E90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61CEE9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10</w:t>
            </w:r>
          </w:p>
        </w:tc>
        <w:tc>
          <w:tcPr>
            <w:tcW w:w="2145" w:type="dxa"/>
            <w:vAlign w:val="center"/>
          </w:tcPr>
          <w:p w14:paraId="71151C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窗帘</w:t>
            </w:r>
          </w:p>
        </w:tc>
        <w:tc>
          <w:tcPr>
            <w:tcW w:w="2955" w:type="dxa"/>
            <w:vAlign w:val="center"/>
          </w:tcPr>
          <w:p w14:paraId="5F79A6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5B2F30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6A96FD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4D31BC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15</w:t>
            </w:r>
            <w:r>
              <w:rPr>
                <w:rFonts w:hint="eastAsia" w:ascii="宋体" w:hAnsi="宋体" w:cs="宋体"/>
                <w:b w:val="0"/>
                <w:bCs w:val="0"/>
                <w:i w:val="0"/>
                <w:iCs w:val="0"/>
                <w:color w:val="000000"/>
                <w:kern w:val="0"/>
                <w:sz w:val="21"/>
                <w:szCs w:val="21"/>
                <w:u w:val="none"/>
                <w:lang w:val="en-US" w:eastAsia="zh-CN" w:bidi="ar"/>
              </w:rPr>
              <w:t>元</w:t>
            </w:r>
            <w:r>
              <w:rPr>
                <w:rFonts w:hint="eastAsia" w:ascii="宋体" w:hAnsi="宋体" w:eastAsia="宋体" w:cs="宋体"/>
                <w:b w:val="0"/>
                <w:bCs w:val="0"/>
                <w:i w:val="0"/>
                <w:iCs w:val="0"/>
                <w:color w:val="000000"/>
                <w:kern w:val="0"/>
                <w:sz w:val="21"/>
                <w:szCs w:val="21"/>
                <w:u w:val="none"/>
                <w:lang w:val="en-US" w:eastAsia="zh-CN" w:bidi="ar"/>
              </w:rPr>
              <w:t>/</w:t>
            </w:r>
            <w:r>
              <w:rPr>
                <w:rStyle w:val="53"/>
                <w:rFonts w:hint="eastAsia" w:ascii="宋体" w:hAnsi="宋体" w:eastAsia="宋体" w:cs="宋体"/>
                <w:b w:val="0"/>
                <w:bCs w:val="0"/>
                <w:sz w:val="21"/>
                <w:szCs w:val="21"/>
                <w:lang w:val="en-US" w:eastAsia="zh-CN" w:bidi="ar"/>
              </w:rPr>
              <w:t>㎡</w:t>
            </w:r>
          </w:p>
        </w:tc>
      </w:tr>
      <w:tr w14:paraId="4DBA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7D13778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11</w:t>
            </w:r>
          </w:p>
        </w:tc>
        <w:tc>
          <w:tcPr>
            <w:tcW w:w="2145" w:type="dxa"/>
            <w:vAlign w:val="center"/>
          </w:tcPr>
          <w:p w14:paraId="6F309D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饭堂台布2.8米台</w:t>
            </w:r>
          </w:p>
        </w:tc>
        <w:tc>
          <w:tcPr>
            <w:tcW w:w="2955" w:type="dxa"/>
            <w:vAlign w:val="center"/>
          </w:tcPr>
          <w:p w14:paraId="5631CB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61A27E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467739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72C1C8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15.00</w:t>
            </w:r>
            <w:r>
              <w:rPr>
                <w:rFonts w:hint="eastAsia" w:ascii="宋体" w:hAnsi="宋体" w:cs="宋体"/>
                <w:b w:val="0"/>
                <w:bCs w:val="0"/>
                <w:i w:val="0"/>
                <w:iCs w:val="0"/>
                <w:color w:val="000000"/>
                <w:kern w:val="0"/>
                <w:sz w:val="21"/>
                <w:szCs w:val="21"/>
                <w:u w:val="none"/>
                <w:lang w:val="en-US" w:eastAsia="zh-CN" w:bidi="ar"/>
              </w:rPr>
              <w:t>元</w:t>
            </w:r>
          </w:p>
        </w:tc>
      </w:tr>
      <w:tr w14:paraId="27CD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334FB8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12</w:t>
            </w:r>
          </w:p>
        </w:tc>
        <w:tc>
          <w:tcPr>
            <w:tcW w:w="2145" w:type="dxa"/>
            <w:vAlign w:val="center"/>
          </w:tcPr>
          <w:p w14:paraId="49DFA8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饭堂凳套</w:t>
            </w:r>
          </w:p>
        </w:tc>
        <w:tc>
          <w:tcPr>
            <w:tcW w:w="2955" w:type="dxa"/>
            <w:vAlign w:val="center"/>
          </w:tcPr>
          <w:p w14:paraId="15DB81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洗涤</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熨烫</w:t>
            </w:r>
            <w:r>
              <w:rPr>
                <w:rStyle w:val="51"/>
                <w:rFonts w:hint="eastAsia" w:ascii="宋体" w:hAnsi="宋体" w:eastAsia="宋体" w:cs="宋体"/>
                <w:b w:val="0"/>
                <w:bCs w:val="0"/>
                <w:sz w:val="21"/>
                <w:szCs w:val="21"/>
                <w:lang w:val="en-US" w:eastAsia="zh-CN" w:bidi="ar"/>
              </w:rPr>
              <w:t>、</w:t>
            </w:r>
            <w:r>
              <w:rPr>
                <w:rStyle w:val="52"/>
                <w:rFonts w:hint="eastAsia" w:ascii="宋体" w:hAnsi="宋体" w:eastAsia="宋体" w:cs="宋体"/>
                <w:b w:val="0"/>
                <w:bCs w:val="0"/>
                <w:sz w:val="21"/>
                <w:szCs w:val="21"/>
                <w:lang w:val="en-US" w:eastAsia="zh-CN" w:bidi="ar"/>
              </w:rPr>
              <w:t>取配送</w:t>
            </w:r>
          </w:p>
        </w:tc>
        <w:tc>
          <w:tcPr>
            <w:tcW w:w="682" w:type="dxa"/>
            <w:vAlign w:val="center"/>
          </w:tcPr>
          <w:p w14:paraId="05F8B4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73E6B10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3E92E10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6.00</w:t>
            </w:r>
            <w:r>
              <w:rPr>
                <w:rFonts w:hint="eastAsia" w:ascii="宋体" w:hAnsi="宋体" w:cs="宋体"/>
                <w:b w:val="0"/>
                <w:bCs w:val="0"/>
                <w:i w:val="0"/>
                <w:iCs w:val="0"/>
                <w:color w:val="000000"/>
                <w:kern w:val="0"/>
                <w:sz w:val="21"/>
                <w:szCs w:val="21"/>
                <w:u w:val="none"/>
                <w:lang w:val="en-US" w:eastAsia="zh-CN" w:bidi="ar"/>
              </w:rPr>
              <w:t>元</w:t>
            </w:r>
          </w:p>
        </w:tc>
      </w:tr>
      <w:tr w14:paraId="1EF5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502181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13</w:t>
            </w:r>
          </w:p>
        </w:tc>
        <w:tc>
          <w:tcPr>
            <w:tcW w:w="2145" w:type="dxa"/>
            <w:vAlign w:val="center"/>
          </w:tcPr>
          <w:p w14:paraId="4B42F1F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被子真空打包</w:t>
            </w:r>
          </w:p>
        </w:tc>
        <w:tc>
          <w:tcPr>
            <w:tcW w:w="2955" w:type="dxa"/>
            <w:vAlign w:val="center"/>
          </w:tcPr>
          <w:p w14:paraId="18B936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真空打包、取配送</w:t>
            </w:r>
          </w:p>
        </w:tc>
        <w:tc>
          <w:tcPr>
            <w:tcW w:w="682" w:type="dxa"/>
            <w:vAlign w:val="center"/>
          </w:tcPr>
          <w:p w14:paraId="3DE64F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1</w:t>
            </w:r>
          </w:p>
        </w:tc>
        <w:tc>
          <w:tcPr>
            <w:tcW w:w="683" w:type="dxa"/>
            <w:vAlign w:val="center"/>
          </w:tcPr>
          <w:p w14:paraId="34A2CE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件</w:t>
            </w:r>
          </w:p>
        </w:tc>
        <w:tc>
          <w:tcPr>
            <w:tcW w:w="1139" w:type="dxa"/>
            <w:vAlign w:val="center"/>
          </w:tcPr>
          <w:p w14:paraId="3B4DFE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25.00</w:t>
            </w:r>
            <w:r>
              <w:rPr>
                <w:rFonts w:hint="eastAsia" w:ascii="宋体" w:hAnsi="宋体" w:cs="宋体"/>
                <w:b w:val="0"/>
                <w:bCs w:val="0"/>
                <w:i w:val="0"/>
                <w:iCs w:val="0"/>
                <w:color w:val="000000"/>
                <w:kern w:val="0"/>
                <w:sz w:val="21"/>
                <w:szCs w:val="21"/>
                <w:u w:val="none"/>
                <w:lang w:val="en-US" w:eastAsia="zh-CN" w:bidi="ar"/>
              </w:rPr>
              <w:t>元</w:t>
            </w:r>
          </w:p>
        </w:tc>
      </w:tr>
    </w:tbl>
    <w:p w14:paraId="6ACC15B8">
      <w:pPr>
        <w:widowControl/>
        <w:spacing w:after="0" w:line="279"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（3）技术要求：</w:t>
      </w:r>
    </w:p>
    <w:p w14:paraId="12CB9A02">
      <w:pPr>
        <w:spacing w:line="360" w:lineRule="auto"/>
        <w:ind w:firstLine="420" w:firstLineChars="200"/>
        <w:jc w:val="left"/>
        <w:rPr>
          <w:rFonts w:ascii="宋体" w:hAnsi="宋体" w:cs="宋体"/>
          <w:szCs w:val="21"/>
        </w:rPr>
      </w:pPr>
      <w:r>
        <w:rPr>
          <w:rFonts w:hint="eastAsia" w:ascii="宋体" w:hAnsi="宋体" w:cs="宋体"/>
          <w:szCs w:val="21"/>
        </w:rPr>
        <w:t>（一）质量要求</w:t>
      </w:r>
    </w:p>
    <w:p w14:paraId="31D30A69">
      <w:pPr>
        <w:spacing w:line="360" w:lineRule="auto"/>
        <w:ind w:firstLine="420" w:firstLineChars="200"/>
        <w:jc w:val="left"/>
        <w:rPr>
          <w:rFonts w:ascii="宋体" w:hAnsi="宋体" w:cs="宋体"/>
          <w:szCs w:val="21"/>
        </w:rPr>
      </w:pPr>
      <w:r>
        <w:rPr>
          <w:rFonts w:hint="eastAsia" w:ascii="宋体" w:hAnsi="宋体" w:cs="宋体"/>
          <w:szCs w:val="21"/>
        </w:rPr>
        <w:t>1.中标人负责为采购人提供的服务符合该单位的质量标准，由采购单位验收评价服务质量情况。</w:t>
      </w:r>
    </w:p>
    <w:p w14:paraId="1261E3B2">
      <w:pPr>
        <w:spacing w:line="360" w:lineRule="auto"/>
        <w:ind w:firstLine="420" w:firstLineChars="200"/>
        <w:jc w:val="left"/>
        <w:rPr>
          <w:rFonts w:ascii="宋体" w:hAnsi="宋体" w:cs="宋体"/>
          <w:szCs w:val="21"/>
        </w:rPr>
      </w:pPr>
      <w:r>
        <w:rPr>
          <w:rFonts w:hint="eastAsia" w:ascii="宋体" w:hAnsi="宋体" w:cs="宋体"/>
          <w:szCs w:val="21"/>
        </w:rPr>
        <w:t>2.中标人负责为采购人提供布草（床单、被套、枕套、浴巾、面巾、窗帘、台布、护垫、浴袍、棉被、枕芯等）去渍、洗涤、熨烫、消毒等服务项目，质量需达到干净、手感干爽柔软，无污渍残留；熨烫平整、挺括，外观无变色、串色、脱色；无颜色发灰现象；无残留异味，无破损；无变形缩水，无饰品或附件不齐等，服务标准符合《公共场所用品卫生标准WS205-2001》规定。</w:t>
      </w:r>
    </w:p>
    <w:p w14:paraId="1C70144E">
      <w:pPr>
        <w:spacing w:line="360" w:lineRule="auto"/>
        <w:ind w:firstLine="420" w:firstLineChars="200"/>
        <w:jc w:val="left"/>
        <w:rPr>
          <w:rFonts w:ascii="宋体" w:hAnsi="宋体" w:cs="宋体"/>
          <w:szCs w:val="21"/>
        </w:rPr>
      </w:pPr>
      <w:r>
        <w:rPr>
          <w:rFonts w:hint="eastAsia" w:ascii="宋体" w:hAnsi="宋体" w:cs="宋体"/>
          <w:szCs w:val="21"/>
        </w:rPr>
        <w:t>（二）时间要求</w:t>
      </w:r>
    </w:p>
    <w:p w14:paraId="5C957FD2">
      <w:pPr>
        <w:spacing w:line="360" w:lineRule="auto"/>
        <w:ind w:firstLine="420" w:firstLineChars="200"/>
        <w:jc w:val="left"/>
        <w:rPr>
          <w:rFonts w:ascii="宋体" w:hAnsi="宋体" w:cs="宋体"/>
          <w:szCs w:val="21"/>
        </w:rPr>
      </w:pPr>
      <w:r>
        <w:rPr>
          <w:rFonts w:hint="eastAsia" w:ascii="宋体" w:hAnsi="宋体" w:cs="宋体"/>
          <w:szCs w:val="21"/>
        </w:rPr>
        <w:t>1.需保证全年365天均能收送。</w:t>
      </w:r>
    </w:p>
    <w:p w14:paraId="7D667DC7">
      <w:pPr>
        <w:spacing w:line="360" w:lineRule="auto"/>
        <w:ind w:firstLine="420" w:firstLineChars="200"/>
        <w:jc w:val="left"/>
        <w:rPr>
          <w:rFonts w:ascii="宋体" w:hAnsi="宋体" w:cs="宋体"/>
          <w:szCs w:val="21"/>
        </w:rPr>
      </w:pPr>
      <w:r>
        <w:rPr>
          <w:rFonts w:hint="eastAsia" w:ascii="宋体" w:hAnsi="宋体" w:cs="宋体"/>
          <w:szCs w:val="21"/>
        </w:rPr>
        <w:t>2.必须在约定时间把布草送到指定地点，由学员宿舍工作人员验收核对后签收。如超出约定时间30分钟，则将扣除当日服务费用10%作为违约处罚。如采购人对服务验收不合格导致返工的，则需扣除当日不合格产品服务费用。</w:t>
      </w:r>
    </w:p>
    <w:p w14:paraId="5A61713B">
      <w:pPr>
        <w:spacing w:line="360" w:lineRule="auto"/>
        <w:ind w:firstLine="420" w:firstLineChars="200"/>
        <w:jc w:val="left"/>
        <w:rPr>
          <w:rFonts w:ascii="宋体" w:hAnsi="宋体" w:cs="宋体"/>
          <w:szCs w:val="21"/>
        </w:rPr>
      </w:pPr>
      <w:r>
        <w:rPr>
          <w:rFonts w:hint="eastAsia" w:ascii="宋体" w:hAnsi="宋体" w:cs="宋体"/>
          <w:szCs w:val="21"/>
        </w:rPr>
        <w:t>3.采购单位需要临时洗涤服务的（提前3小时通知中标人），中标人必须无条件当日收取。</w:t>
      </w:r>
    </w:p>
    <w:p w14:paraId="060E0528">
      <w:pPr>
        <w:spacing w:line="360" w:lineRule="auto"/>
        <w:ind w:firstLine="420" w:firstLineChars="200"/>
        <w:jc w:val="left"/>
        <w:rPr>
          <w:rFonts w:ascii="宋体" w:hAnsi="宋体" w:cs="宋体"/>
          <w:szCs w:val="21"/>
        </w:rPr>
      </w:pPr>
      <w:r>
        <w:rPr>
          <w:rFonts w:hint="eastAsia" w:ascii="宋体" w:hAnsi="宋体" w:cs="宋体"/>
          <w:szCs w:val="21"/>
        </w:rPr>
        <w:t>4.若有特殊情况，需提前通知采购单位。在通知采购单位后，中标人配送到达时间不得超过约定时间1小时；如中标人在规定时间内没有配送到，给采购单位带来一切经济后果将由中标人承担。</w:t>
      </w:r>
    </w:p>
    <w:p w14:paraId="79F23066">
      <w:pPr>
        <w:spacing w:line="360" w:lineRule="auto"/>
        <w:ind w:firstLine="420" w:firstLineChars="200"/>
        <w:jc w:val="left"/>
        <w:rPr>
          <w:rFonts w:ascii="宋体" w:hAnsi="宋体" w:cs="宋体"/>
          <w:szCs w:val="21"/>
        </w:rPr>
      </w:pPr>
      <w:r>
        <w:rPr>
          <w:rFonts w:hint="eastAsia" w:ascii="宋体" w:hAnsi="宋体" w:cs="宋体"/>
          <w:szCs w:val="21"/>
        </w:rPr>
        <w:t>（三）收送要求</w:t>
      </w:r>
    </w:p>
    <w:p w14:paraId="18FC3C5A">
      <w:pPr>
        <w:spacing w:line="360" w:lineRule="auto"/>
        <w:ind w:firstLine="420" w:firstLineChars="200"/>
        <w:jc w:val="left"/>
        <w:rPr>
          <w:rFonts w:ascii="宋体" w:hAnsi="宋体" w:cs="宋体"/>
          <w:szCs w:val="21"/>
        </w:rPr>
      </w:pPr>
      <w:r>
        <w:rPr>
          <w:rFonts w:hint="eastAsia" w:ascii="宋体" w:hAnsi="宋体" w:cs="宋体"/>
          <w:szCs w:val="21"/>
        </w:rPr>
        <w:t>1.中标人免费为采购人提供布草及客衣送洗单。</w:t>
      </w:r>
    </w:p>
    <w:p w14:paraId="36B74DA3">
      <w:pPr>
        <w:spacing w:line="360" w:lineRule="auto"/>
        <w:ind w:firstLine="420" w:firstLineChars="200"/>
        <w:jc w:val="left"/>
        <w:rPr>
          <w:rFonts w:ascii="宋体" w:hAnsi="宋体" w:cs="宋体"/>
          <w:szCs w:val="21"/>
        </w:rPr>
      </w:pPr>
      <w:r>
        <w:rPr>
          <w:rFonts w:hint="eastAsia" w:ascii="宋体" w:hAnsi="宋体" w:cs="宋体"/>
          <w:szCs w:val="21"/>
        </w:rPr>
        <w:t>2.采购人、中标人双方在布草交接时必须当面点数，验收布草状况。否则，发生缺件、及任何质量问题由签收方自负；双方均在每次《洗涤交接单》上签名确认，并以此作为每月月终布草洗涤数量及费用支付依据。</w:t>
      </w:r>
    </w:p>
    <w:p w14:paraId="2DCAE383">
      <w:pPr>
        <w:spacing w:line="360" w:lineRule="auto"/>
        <w:ind w:firstLine="420" w:firstLineChars="200"/>
        <w:jc w:val="left"/>
        <w:rPr>
          <w:rFonts w:ascii="宋体" w:hAnsi="宋体" w:cs="宋体"/>
          <w:szCs w:val="21"/>
        </w:rPr>
      </w:pPr>
      <w:r>
        <w:rPr>
          <w:rFonts w:hint="eastAsia" w:ascii="宋体" w:hAnsi="宋体" w:cs="宋体"/>
          <w:szCs w:val="21"/>
        </w:rPr>
        <w:t>3.采购人可向中标人提出合理的书面洗烫和包扎要求，中标人确认后，须按采购人的要求交货，如采购人在合作过程中需更改洗烫和包扎要求时，须提前两天通知中标人。</w:t>
      </w:r>
    </w:p>
    <w:p w14:paraId="35B609D6">
      <w:pPr>
        <w:spacing w:line="360" w:lineRule="auto"/>
        <w:ind w:firstLine="420" w:firstLineChars="200"/>
        <w:jc w:val="left"/>
        <w:rPr>
          <w:rFonts w:ascii="宋体" w:hAnsi="宋体" w:cs="宋体"/>
          <w:szCs w:val="21"/>
        </w:rPr>
      </w:pPr>
      <w:r>
        <w:rPr>
          <w:rFonts w:hint="eastAsia" w:ascii="宋体" w:hAnsi="宋体" w:cs="宋体"/>
          <w:szCs w:val="21"/>
        </w:rPr>
        <w:t>4.中标人在洗涤过程中出现丢失，或由中标人的原因引起布草的损坏，则中标人按照采购人现有同类布草最新招标价格标准赔偿给采购人。</w:t>
      </w:r>
    </w:p>
    <w:p w14:paraId="3C46BF87">
      <w:pPr>
        <w:spacing w:line="360" w:lineRule="auto"/>
        <w:ind w:firstLine="420" w:firstLineChars="200"/>
        <w:jc w:val="left"/>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采购人</w:t>
      </w:r>
      <w:r>
        <w:rPr>
          <w:rFonts w:hint="eastAsia" w:ascii="宋体" w:hAnsi="宋体" w:cs="宋体"/>
          <w:szCs w:val="21"/>
        </w:rPr>
        <w:t>付洗涤的布草在送洗前已经存在染色、褪色、拖地渍、鞋油渍、缩水或已损坏等情形的，布草不纳入保质范围，中标人不负任何赔偿责任。</w:t>
      </w:r>
    </w:p>
    <w:p w14:paraId="375A64FE">
      <w:pPr>
        <w:spacing w:line="360" w:lineRule="auto"/>
        <w:ind w:firstLine="420" w:firstLineChars="200"/>
        <w:jc w:val="left"/>
        <w:rPr>
          <w:rFonts w:ascii="宋体" w:hAnsi="宋体" w:cs="宋体"/>
          <w:szCs w:val="21"/>
        </w:rPr>
      </w:pPr>
      <w:r>
        <w:rPr>
          <w:rFonts w:hint="eastAsia" w:ascii="宋体" w:hAnsi="宋体" w:cs="宋体"/>
          <w:szCs w:val="21"/>
        </w:rPr>
        <w:t>6.每月</w:t>
      </w:r>
      <w:r>
        <w:rPr>
          <w:rFonts w:hint="eastAsia" w:ascii="宋体" w:hAnsi="宋体" w:cs="宋体"/>
          <w:szCs w:val="21"/>
          <w:lang w:val="en-US" w:eastAsia="zh-CN"/>
        </w:rPr>
        <w:t>25-26</w:t>
      </w:r>
      <w:r>
        <w:rPr>
          <w:rFonts w:hint="eastAsia" w:ascii="宋体" w:hAnsi="宋体" w:cs="宋体"/>
          <w:szCs w:val="21"/>
        </w:rPr>
        <w:t>号由</w:t>
      </w:r>
      <w:r>
        <w:rPr>
          <w:rFonts w:hint="eastAsia" w:ascii="宋体" w:hAnsi="宋体" w:cs="宋体"/>
          <w:szCs w:val="21"/>
          <w:lang w:val="en-US" w:eastAsia="zh-CN"/>
        </w:rPr>
        <w:t>采购人和中标人</w:t>
      </w:r>
      <w:r>
        <w:rPr>
          <w:rFonts w:hint="eastAsia" w:ascii="宋体" w:hAnsi="宋体" w:cs="宋体"/>
          <w:szCs w:val="21"/>
        </w:rPr>
        <w:t>双方洽谈当月洗涤中破损布草的情况，明确分清布草质量所用时间之造成的破损责任，赔偿责任以每天的交收登记为准。</w:t>
      </w:r>
    </w:p>
    <w:p w14:paraId="1BA7E97B">
      <w:pPr>
        <w:spacing w:line="360" w:lineRule="auto"/>
        <w:ind w:firstLine="420" w:firstLineChars="200"/>
        <w:jc w:val="left"/>
        <w:rPr>
          <w:rFonts w:ascii="宋体" w:hAnsi="宋体" w:cs="宋体"/>
          <w:szCs w:val="21"/>
        </w:rPr>
      </w:pPr>
      <w:r>
        <w:rPr>
          <w:rFonts w:hint="eastAsia" w:ascii="宋体" w:hAnsi="宋体" w:cs="宋体"/>
          <w:szCs w:val="21"/>
        </w:rPr>
        <w:t>（四）其他内容</w:t>
      </w:r>
    </w:p>
    <w:p w14:paraId="731E68B1">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加工人员和配送人员在服务过程中如遇到人员伤亡事故由中标人负全部责任，与采购单位无关。</w:t>
      </w:r>
    </w:p>
    <w:p w14:paraId="41CCE92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2.合同</w:t>
      </w:r>
      <w:r>
        <w:rPr>
          <w:rFonts w:hint="eastAsia" w:ascii="宋体" w:hAnsi="宋体" w:cs="宋体"/>
          <w:b/>
          <w:bCs/>
          <w:color w:val="auto"/>
          <w:kern w:val="2"/>
          <w:sz w:val="21"/>
          <w:szCs w:val="21"/>
          <w:lang w:val="en-US" w:eastAsia="zh-CN" w:bidi="ar-SA"/>
        </w:rPr>
        <w:t>最高支付限额以及中标折扣率</w:t>
      </w:r>
    </w:p>
    <w:p w14:paraId="742115E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20" w:firstLineChars="200"/>
        <w:textAlignment w:val="auto"/>
        <w:rPr>
          <w:rFonts w:hint="default" w:ascii="宋体" w:hAnsi="宋体" w:eastAsiaTheme="minorEastAsia"/>
          <w:color w:val="auto"/>
          <w:szCs w:val="21"/>
          <w:lang w:val="en-US" w:eastAsia="zh-CN"/>
        </w:rPr>
      </w:pPr>
      <w:r>
        <w:rPr>
          <w:rFonts w:hint="eastAsia" w:ascii="宋体" w:hAnsi="宋体"/>
          <w:color w:val="auto"/>
          <w:szCs w:val="21"/>
        </w:rPr>
        <w:t>（1）</w:t>
      </w:r>
      <w:r>
        <w:rPr>
          <w:rFonts w:hint="eastAsia" w:ascii="宋体" w:hAnsi="宋体" w:cs="Times New Roman"/>
          <w:color w:val="auto"/>
          <w:szCs w:val="21"/>
          <w:lang w:val="en-US" w:eastAsia="zh-CN"/>
        </w:rPr>
        <w:t>合同最高支付限额</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人民币200,000.00元 </w:t>
      </w:r>
    </w:p>
    <w:p w14:paraId="5D0AC057">
      <w:pPr>
        <w:keepNext w:val="0"/>
        <w:keepLines w:val="0"/>
        <w:pageBreakBefore w:val="0"/>
        <w:widowControl w:val="0"/>
        <w:kinsoku/>
        <w:wordWrap/>
        <w:overflowPunct/>
        <w:topLinePunct w:val="0"/>
        <w:autoSpaceDE/>
        <w:autoSpaceDN/>
        <w:bidi w:val="0"/>
        <w:adjustRightInd/>
        <w:snapToGrid/>
        <w:spacing w:before="0" w:beforeLines="0" w:line="360" w:lineRule="auto"/>
        <w:ind w:left="0" w:firstLine="420" w:firstLineChars="200"/>
        <w:textAlignment w:val="auto"/>
        <w:rPr>
          <w:rFonts w:hint="default"/>
          <w:lang w:val="en-US" w:eastAsia="zh-CN"/>
        </w:rPr>
      </w:pPr>
      <w:r>
        <w:rPr>
          <w:rFonts w:hint="eastAsia" w:ascii="宋体" w:hAnsi="宋体"/>
          <w:color w:val="auto"/>
          <w:szCs w:val="21"/>
          <w:lang w:val="en-US" w:eastAsia="zh-CN"/>
        </w:rPr>
        <w:t xml:space="preserve">                 </w:t>
      </w:r>
      <w:r>
        <w:rPr>
          <w:rFonts w:hint="eastAsia" w:ascii="宋体" w:hAnsi="宋体"/>
          <w:color w:val="auto"/>
          <w:szCs w:val="21"/>
        </w:rPr>
        <w:t>大写：</w:t>
      </w:r>
      <w:r>
        <w:rPr>
          <w:rFonts w:hint="eastAsia" w:ascii="宋体" w:hAnsi="宋体"/>
          <w:color w:val="auto"/>
          <w:szCs w:val="21"/>
          <w:u w:val="single"/>
          <w:lang w:val="en-US" w:eastAsia="zh-CN"/>
        </w:rPr>
        <w:t xml:space="preserve"> 人民币</w:t>
      </w:r>
      <w:r>
        <w:rPr>
          <w:rFonts w:hint="eastAsia" w:ascii="宋体" w:hAnsi="宋体"/>
          <w:color w:val="auto"/>
          <w:szCs w:val="21"/>
          <w:u w:val="single"/>
          <w:vertAlign w:val="baseline"/>
          <w:lang w:val="en-US" w:eastAsia="zh-CN"/>
        </w:rPr>
        <w:t>贰拾万元整</w:t>
      </w:r>
      <w:r>
        <w:rPr>
          <w:rFonts w:hint="eastAsia" w:ascii="宋体" w:hAnsi="宋体"/>
          <w:color w:val="auto"/>
          <w:szCs w:val="21"/>
          <w:u w:val="single"/>
          <w:lang w:val="en-US" w:eastAsia="zh-CN"/>
        </w:rPr>
        <w:t xml:space="preserve"> </w:t>
      </w:r>
    </w:p>
    <w:p w14:paraId="7862DC73">
      <w:pPr>
        <w:keepNext w:val="0"/>
        <w:keepLines w:val="0"/>
        <w:pageBreakBefore w:val="0"/>
        <w:widowControl w:val="0"/>
        <w:kinsoku/>
        <w:wordWrap/>
        <w:overflowPunct/>
        <w:topLinePunct w:val="0"/>
        <w:autoSpaceDE/>
        <w:autoSpaceDN/>
        <w:bidi w:val="0"/>
        <w:adjustRightInd/>
        <w:snapToGrid/>
        <w:spacing w:before="0" w:beforeLines="0" w:line="360" w:lineRule="auto"/>
        <w:ind w:firstLine="420" w:firstLineChars="200"/>
        <w:textAlignment w:val="auto"/>
        <w:rPr>
          <w:rFonts w:hint="eastAsia" w:ascii="宋体" w:hAnsi="宋体"/>
          <w:color w:val="auto"/>
          <w:szCs w:val="21"/>
          <w:lang w:val="en-US" w:eastAsia="zh-CN"/>
        </w:rPr>
      </w:pPr>
      <w:r>
        <w:rPr>
          <w:rFonts w:hint="eastAsia" w:ascii="宋体" w:hAnsi="宋体"/>
          <w:color w:val="auto"/>
          <w:szCs w:val="21"/>
          <w:lang w:eastAsia="zh-CN"/>
        </w:rPr>
        <w:t>本合同约定金额为含税价，</w:t>
      </w:r>
      <w:r>
        <w:rPr>
          <w:rFonts w:hint="eastAsia" w:ascii="宋体" w:hAnsi="宋体"/>
          <w:color w:val="auto"/>
          <w:szCs w:val="21"/>
          <w:lang w:val="en-US" w:eastAsia="zh-CN"/>
        </w:rPr>
        <w:t>是本年度布草洗涤服务费支付上限，</w:t>
      </w:r>
    </w:p>
    <w:p w14:paraId="7AB02ED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20" w:firstLineChars="200"/>
        <w:textAlignment w:val="auto"/>
        <w:rPr>
          <w:rFonts w:hint="default" w:ascii="宋体" w:hAnsi="宋体" w:eastAsia="宋体" w:cs="宋体"/>
          <w:b/>
          <w:bCs/>
          <w:color w:val="auto"/>
          <w:kern w:val="2"/>
          <w:sz w:val="21"/>
          <w:szCs w:val="21"/>
          <w:u w:val="single"/>
          <w:lang w:val="en-US" w:eastAsia="zh-CN" w:bidi="ar-SA"/>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s="Times New Roman"/>
          <w:color w:val="auto"/>
          <w:szCs w:val="21"/>
          <w:lang w:val="en-US" w:eastAsia="zh-CN"/>
        </w:rPr>
        <w:t>中标折扣率：</w:t>
      </w:r>
      <w:r>
        <w:rPr>
          <w:rFonts w:hint="eastAsia" w:ascii="宋体" w:hAnsi="宋体" w:cs="Times New Roman"/>
          <w:color w:val="auto"/>
          <w:szCs w:val="21"/>
          <w:u w:val="single"/>
          <w:lang w:val="en-US" w:eastAsia="zh-CN"/>
        </w:rPr>
        <w:t xml:space="preserve">        </w:t>
      </w:r>
    </w:p>
    <w:p w14:paraId="07B2D8F2">
      <w:pPr>
        <w:keepNext w:val="0"/>
        <w:keepLines w:val="0"/>
        <w:pageBreakBefore w:val="0"/>
        <w:widowControl w:val="0"/>
        <w:kinsoku/>
        <w:wordWrap/>
        <w:overflowPunct/>
        <w:topLinePunct w:val="0"/>
        <w:autoSpaceDE/>
        <w:autoSpaceDN/>
        <w:bidi w:val="0"/>
        <w:adjustRightInd/>
        <w:snapToGrid/>
        <w:spacing w:before="0" w:beforeLines="0" w:line="360" w:lineRule="auto"/>
        <w:ind w:firstLine="420" w:firstLineChars="200"/>
        <w:textAlignment w:val="auto"/>
        <w:rPr>
          <w:rFonts w:hint="eastAsia" w:eastAsiaTheme="minorEastAsia"/>
          <w:color w:val="auto"/>
          <w:lang w:eastAsia="zh-CN"/>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olor w:val="auto"/>
        </w:rPr>
        <w:t>付款方式（按项目实际勾选填写）</w:t>
      </w:r>
      <w:r>
        <w:rPr>
          <w:rFonts w:hint="eastAsia" w:ascii="宋体" w:hAnsi="宋体"/>
          <w:color w:val="auto"/>
          <w:lang w:eastAsia="zh-CN"/>
        </w:rPr>
        <w:t>：</w:t>
      </w:r>
    </w:p>
    <w:p w14:paraId="3F95F496">
      <w:pPr>
        <w:widowControl/>
        <w:shd w:val="clear" w:color="auto" w:fill="FFFFFF"/>
        <w:adjustRightInd w:val="0"/>
        <w:snapToGrid w:val="0"/>
        <w:spacing w:line="360" w:lineRule="auto"/>
        <w:rPr>
          <w:rFonts w:ascii="宋体" w:hAnsi="宋体" w:cs="宋体"/>
          <w:szCs w:val="21"/>
          <w:u w:val="single"/>
        </w:rPr>
      </w:pPr>
      <w:r>
        <w:rPr>
          <w:rFonts w:hint="eastAsia" w:ascii="宋体" w:hAnsi="宋体"/>
          <w:color w:val="auto"/>
          <w:szCs w:val="21"/>
        </w:rPr>
        <w:sym w:font="Wingdings" w:char="00FE"/>
      </w:r>
      <w:r>
        <w:rPr>
          <w:rFonts w:hint="eastAsia" w:ascii="宋体" w:hAnsi="宋体"/>
          <w:color w:val="auto"/>
          <w:szCs w:val="21"/>
        </w:rPr>
        <w:t>分期付款：</w:t>
      </w:r>
      <w:r>
        <w:rPr>
          <w:rFonts w:hint="eastAsia" w:ascii="宋体" w:hAnsi="宋体" w:cs="宋体"/>
          <w:szCs w:val="21"/>
          <w:u w:val="single"/>
          <w:lang w:val="en-US" w:eastAsia="zh-CN"/>
        </w:rPr>
        <w:t>每月</w:t>
      </w:r>
      <w:r>
        <w:rPr>
          <w:rFonts w:hint="eastAsia" w:ascii="宋体" w:hAnsi="宋体" w:cs="宋体"/>
          <w:szCs w:val="21"/>
          <w:u w:val="single"/>
        </w:rPr>
        <w:t>结算货款时，应由采购</w:t>
      </w:r>
      <w:r>
        <w:rPr>
          <w:rFonts w:hint="eastAsia" w:ascii="宋体" w:hAnsi="宋体" w:cs="宋体"/>
          <w:szCs w:val="21"/>
          <w:u w:val="single"/>
          <w:lang w:val="en-US" w:eastAsia="zh-CN"/>
        </w:rPr>
        <w:t>人</w:t>
      </w:r>
      <w:r>
        <w:rPr>
          <w:rFonts w:hint="eastAsia" w:ascii="宋体" w:hAnsi="宋体" w:cs="宋体"/>
          <w:szCs w:val="21"/>
          <w:u w:val="single"/>
        </w:rPr>
        <w:t>财务人员严格审核送货清单，并根据招标确定的折扣率予以结算</w:t>
      </w:r>
      <w:r>
        <w:rPr>
          <w:rFonts w:hint="eastAsia" w:ascii="宋体" w:hAnsi="宋体" w:cs="宋体"/>
          <w:szCs w:val="21"/>
          <w:u w:val="single"/>
          <w:lang w:eastAsia="zh-CN"/>
        </w:rPr>
        <w:t>，结算时价格=</w:t>
      </w:r>
      <w:r>
        <w:rPr>
          <w:rFonts w:hint="eastAsia" w:ascii="宋体" w:hAnsi="宋体" w:eastAsia="宋体" w:cs="宋体"/>
          <w:b w:val="0"/>
          <w:bCs w:val="0"/>
          <w:i w:val="0"/>
          <w:iCs w:val="0"/>
          <w:color w:val="000000"/>
          <w:kern w:val="0"/>
          <w:sz w:val="21"/>
          <w:szCs w:val="21"/>
          <w:u w:val="single"/>
          <w:lang w:val="en-US" w:eastAsia="zh-CN" w:bidi="ar"/>
        </w:rPr>
        <w:t>洗涤单品的单价限价</w:t>
      </w:r>
      <w:r>
        <w:rPr>
          <w:rFonts w:hint="eastAsia" w:ascii="宋体" w:hAnsi="宋体" w:cs="宋体"/>
          <w:szCs w:val="21"/>
          <w:u w:val="single"/>
          <w:lang w:eastAsia="zh-CN"/>
        </w:rPr>
        <w:t>*折扣率</w:t>
      </w:r>
      <w:r>
        <w:rPr>
          <w:rFonts w:hint="eastAsia" w:ascii="宋体" w:hAnsi="宋体" w:cs="宋体"/>
          <w:szCs w:val="21"/>
          <w:u w:val="single"/>
          <w:lang w:val="en-US" w:eastAsia="zh-CN"/>
        </w:rPr>
        <w:t>*洗涤数量</w:t>
      </w:r>
      <w:r>
        <w:rPr>
          <w:rFonts w:hint="eastAsia" w:ascii="宋体" w:hAnsi="宋体" w:cs="宋体"/>
          <w:szCs w:val="21"/>
          <w:u w:val="single"/>
        </w:rPr>
        <w:t>。款项每月结算一次，采购</w:t>
      </w:r>
      <w:r>
        <w:rPr>
          <w:rFonts w:hint="eastAsia" w:ascii="宋体" w:hAnsi="宋体" w:cs="宋体"/>
          <w:szCs w:val="21"/>
          <w:u w:val="single"/>
          <w:lang w:val="en-US" w:eastAsia="zh-CN"/>
        </w:rPr>
        <w:t>人</w:t>
      </w:r>
      <w:r>
        <w:rPr>
          <w:rFonts w:hint="eastAsia" w:ascii="宋体" w:hAnsi="宋体" w:cs="宋体"/>
          <w:szCs w:val="21"/>
          <w:u w:val="single"/>
        </w:rPr>
        <w:t>按现行有关规定，凭采购合同、发票等合同约定条款按进度拨付合同款项。</w:t>
      </w:r>
    </w:p>
    <w:p w14:paraId="5847885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3.合同履行</w:t>
      </w:r>
    </w:p>
    <w:p w14:paraId="31F7E4BA">
      <w:pPr>
        <w:keepNext w:val="0"/>
        <w:keepLines w:val="0"/>
        <w:pageBreakBefore w:val="0"/>
        <w:widowControl w:val="0"/>
        <w:kinsoku/>
        <w:wordWrap/>
        <w:overflowPunct/>
        <w:topLinePunct w:val="0"/>
        <w:autoSpaceDE/>
        <w:autoSpaceDN/>
        <w:bidi w:val="0"/>
        <w:adjustRightInd/>
        <w:snapToGrid/>
        <w:spacing w:before="0" w:beforeLines="0" w:line="360" w:lineRule="auto"/>
        <w:ind w:firstLine="420" w:firstLineChars="200"/>
        <w:textAlignment w:val="auto"/>
        <w:rPr>
          <w:rFonts w:hint="eastAsia" w:ascii="宋体" w:hAnsi="宋体" w:cs="宋体" w:eastAsiaTheme="minorEastAsia"/>
          <w:color w:val="auto"/>
          <w:szCs w:val="21"/>
          <w:u w:val="single"/>
          <w:lang w:eastAsia="zh-CN"/>
        </w:rPr>
      </w:pP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eastAsia="zh-CN"/>
        </w:rPr>
        <w:t>履约</w:t>
      </w:r>
      <w:r>
        <w:rPr>
          <w:rFonts w:hint="eastAsia" w:ascii="宋体" w:hAnsi="宋体" w:cs="宋体"/>
          <w:color w:val="auto"/>
          <w:szCs w:val="21"/>
        </w:rPr>
        <w:t>地点</w:t>
      </w:r>
      <w:r>
        <w:rPr>
          <w:rFonts w:hint="eastAsia" w:ascii="宋体" w:hAnsi="宋体" w:cs="宋体"/>
          <w:b w:val="0"/>
          <w:bCs/>
          <w:color w:val="auto"/>
          <w:szCs w:val="21"/>
        </w:rPr>
        <w:t>：</w:t>
      </w:r>
      <w:r>
        <w:rPr>
          <w:rFonts w:hint="eastAsia" w:ascii="宋体" w:hAnsi="宋体" w:cs="宋体"/>
          <w:color w:val="auto"/>
          <w:szCs w:val="21"/>
          <w:u w:val="single"/>
          <w:lang w:val="en-US" w:eastAsia="zh-CN"/>
        </w:rPr>
        <w:t xml:space="preserve"> </w:t>
      </w:r>
      <w:r>
        <w:rPr>
          <w:rFonts w:hint="eastAsia" w:cs="仿宋" w:asciiTheme="minorEastAsia" w:hAnsiTheme="minorEastAsia" w:eastAsiaTheme="minorEastAsia"/>
          <w:bCs/>
          <w:color w:val="auto"/>
          <w:szCs w:val="21"/>
          <w:u w:val="single"/>
          <w:lang w:eastAsia="zh-CN"/>
        </w:rPr>
        <w:t>深圳市公安局警察机动训练支队</w:t>
      </w:r>
      <w:r>
        <w:rPr>
          <w:rFonts w:hint="eastAsia" w:cs="仿宋" w:asciiTheme="minorEastAsia" w:hAnsiTheme="minorEastAsia"/>
          <w:bCs/>
          <w:color w:val="auto"/>
          <w:szCs w:val="21"/>
          <w:u w:val="single"/>
          <w:lang w:val="en-US" w:eastAsia="zh-CN"/>
        </w:rPr>
        <w:t>院内或甲方指定其他地点</w:t>
      </w:r>
      <w:r>
        <w:rPr>
          <w:rFonts w:hint="eastAsia" w:ascii="宋体" w:hAnsi="宋体"/>
          <w:color w:val="auto"/>
          <w:szCs w:val="21"/>
          <w:u w:val="single"/>
          <w:lang w:val="en-US" w:eastAsia="zh-CN"/>
        </w:rPr>
        <w:t xml:space="preserve"> </w:t>
      </w:r>
    </w:p>
    <w:p w14:paraId="4F734C9A">
      <w:pPr>
        <w:keepNext w:val="0"/>
        <w:keepLines w:val="0"/>
        <w:pageBreakBefore w:val="0"/>
        <w:widowControl w:val="0"/>
        <w:kinsoku/>
        <w:wordWrap/>
        <w:overflowPunct/>
        <w:topLinePunct w:val="0"/>
        <w:autoSpaceDE/>
        <w:autoSpaceDN/>
        <w:bidi w:val="0"/>
        <w:adjustRightInd/>
        <w:snapToGrid/>
        <w:spacing w:before="0" w:beforeLines="0" w:line="360" w:lineRule="auto"/>
        <w:ind w:firstLine="420" w:firstLineChars="200"/>
        <w:textAlignment w:val="auto"/>
        <w:rPr>
          <w:rFonts w:hint="eastAsia" w:ascii="宋体" w:hAnsi="宋体" w:eastAsia="宋体" w:cs="宋体"/>
          <w:color w:val="auto"/>
          <w:sz w:val="21"/>
          <w:lang w:val="en-US" w:eastAsia="zh-CN"/>
        </w:rPr>
      </w:pPr>
      <w:r>
        <w:rPr>
          <w:rFonts w:hint="eastAsia" w:ascii="宋体" w:hAnsi="宋体" w:cs="宋体"/>
          <w:bCs/>
          <w:color w:val="auto"/>
          <w:szCs w:val="21"/>
        </w:rPr>
        <w:t>（</w:t>
      </w:r>
      <w:r>
        <w:rPr>
          <w:rFonts w:hint="eastAsia" w:ascii="宋体" w:hAnsi="宋体" w:cs="宋体"/>
          <w:bCs/>
          <w:color w:val="auto"/>
          <w:szCs w:val="21"/>
          <w:lang w:val="en-US" w:eastAsia="zh-CN"/>
        </w:rPr>
        <w:t>2</w:t>
      </w:r>
      <w:r>
        <w:rPr>
          <w:rFonts w:hint="eastAsia" w:ascii="宋体" w:hAnsi="宋体" w:cs="宋体"/>
          <w:bCs/>
          <w:color w:val="auto"/>
          <w:szCs w:val="21"/>
        </w:rPr>
        <w:t>）履约担保：</w:t>
      </w:r>
      <w:r>
        <w:rPr>
          <w:rFonts w:hint="eastAsia" w:ascii="宋体" w:hAnsi="宋体" w:eastAsia="宋体" w:cs="宋体"/>
          <w:color w:val="auto"/>
          <w:sz w:val="21"/>
          <w:lang w:val="en-US" w:eastAsia="zh-CN"/>
        </w:rPr>
        <w:t>是否收取履约保证金：</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21"/>
          <w:lang w:eastAsia="zh-CN"/>
        </w:rPr>
        <w:t>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sym w:font="Wingdings" w:char="00FE"/>
      </w:r>
      <w:r>
        <w:rPr>
          <w:rFonts w:hint="eastAsia" w:ascii="宋体" w:hAnsi="宋体" w:eastAsia="宋体" w:cs="宋体"/>
          <w:color w:val="auto"/>
          <w:sz w:val="21"/>
          <w:szCs w:val="21"/>
          <w:lang w:eastAsia="zh-CN"/>
        </w:rPr>
        <w:t>否</w:t>
      </w:r>
    </w:p>
    <w:p w14:paraId="6A83DF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4.合同验收</w:t>
      </w:r>
    </w:p>
    <w:p w14:paraId="0C383C37">
      <w:pPr>
        <w:keepNext w:val="0"/>
        <w:keepLines w:val="0"/>
        <w:pageBreakBefore w:val="0"/>
        <w:widowControl w:val="0"/>
        <w:numPr>
          <w:ilvl w:val="0"/>
          <w:numId w:val="0"/>
        </w:numPr>
        <w:kinsoku/>
        <w:wordWrap/>
        <w:overflowPunct/>
        <w:topLinePunct w:val="0"/>
        <w:bidi w:val="0"/>
        <w:adjustRightInd/>
        <w:snapToGrid/>
        <w:spacing w:before="0" w:beforeLines="0" w:line="360" w:lineRule="auto"/>
        <w:ind w:firstLine="420" w:firstLineChars="200"/>
        <w:textAlignment w:val="auto"/>
        <w:rPr>
          <w:rFonts w:hint="eastAsia" w:ascii="宋体" w:hAnsi="宋体"/>
          <w:bCs/>
          <w:color w:val="auto"/>
          <w:szCs w:val="21"/>
        </w:rPr>
      </w:pPr>
      <w:r>
        <w:rPr>
          <w:rFonts w:hint="eastAsia" w:ascii="宋体" w:hAnsi="宋体" w:eastAsiaTheme="minorEastAsia" w:cstheme="minorBidi"/>
          <w:bCs/>
          <w:color w:val="auto"/>
          <w:kern w:val="2"/>
          <w:sz w:val="21"/>
          <w:szCs w:val="21"/>
          <w:lang w:val="en-US" w:eastAsia="zh-CN" w:bidi="ar-SA"/>
        </w:rPr>
        <w:t>（1）</w:t>
      </w:r>
      <w:r>
        <w:rPr>
          <w:rFonts w:hint="eastAsia" w:ascii="宋体" w:hAnsi="宋体"/>
          <w:bCs/>
          <w:color w:val="auto"/>
          <w:szCs w:val="21"/>
        </w:rPr>
        <w:t>验收组织方式：</w:t>
      </w:r>
      <w:r>
        <w:rPr>
          <w:rFonts w:hint="eastAsia" w:ascii="宋体" w:hAnsi="宋体" w:eastAsia="宋体" w:cs="宋体"/>
          <w:color w:val="auto"/>
          <w:sz w:val="21"/>
          <w:szCs w:val="21"/>
        </w:rPr>
        <w:sym w:font="Wingdings" w:char="00FE"/>
      </w:r>
      <w:r>
        <w:rPr>
          <w:rFonts w:hint="eastAsia" w:ascii="宋体" w:hAnsi="宋体"/>
          <w:bCs/>
          <w:color w:val="auto"/>
          <w:szCs w:val="21"/>
        </w:rPr>
        <w:t xml:space="preserve">自行组织 </w:t>
      </w:r>
      <w:r>
        <w:rPr>
          <w:rFonts w:hint="eastAsia" w:ascii="宋体" w:hAnsi="宋体" w:eastAsia="宋体" w:cs="宋体"/>
          <w:color w:val="auto"/>
          <w:sz w:val="21"/>
          <w:szCs w:val="21"/>
        </w:rPr>
        <w:sym w:font="Wingdings" w:char="00A8"/>
      </w:r>
      <w:r>
        <w:rPr>
          <w:rFonts w:hint="eastAsia" w:ascii="宋体" w:hAnsi="宋体"/>
          <w:bCs/>
          <w:color w:val="auto"/>
          <w:szCs w:val="21"/>
        </w:rPr>
        <w:t>委托第三方组织</w:t>
      </w:r>
    </w:p>
    <w:p w14:paraId="48FC1C89">
      <w:pPr>
        <w:keepNext w:val="0"/>
        <w:keepLines w:val="0"/>
        <w:pageBreakBefore w:val="0"/>
        <w:widowControl w:val="0"/>
        <w:numPr>
          <w:ilvl w:val="0"/>
          <w:numId w:val="0"/>
        </w:numPr>
        <w:kinsoku/>
        <w:wordWrap/>
        <w:overflowPunct/>
        <w:topLinePunct w:val="0"/>
        <w:bidi w:val="0"/>
        <w:adjustRightInd/>
        <w:snapToGrid/>
        <w:spacing w:before="0" w:beforeLines="0" w:line="360" w:lineRule="auto"/>
        <w:textAlignment w:val="auto"/>
        <w:rPr>
          <w:rFonts w:hint="eastAsia" w:ascii="宋体" w:hAnsi="宋体" w:eastAsiaTheme="minorEastAsia"/>
          <w:bCs/>
          <w:color w:val="auto"/>
          <w:szCs w:val="21"/>
          <w:lang w:eastAsia="zh-CN"/>
        </w:rPr>
      </w:pPr>
      <w:r>
        <w:rPr>
          <w:rFonts w:hint="eastAsia" w:ascii="宋体" w:hAnsi="宋体"/>
          <w:bCs/>
          <w:color w:val="auto"/>
          <w:szCs w:val="21"/>
          <w:lang w:val="en-US" w:eastAsia="zh-CN"/>
        </w:rPr>
        <w:t xml:space="preserve">         </w:t>
      </w:r>
      <w:r>
        <w:rPr>
          <w:rFonts w:hint="eastAsia" w:ascii="宋体" w:hAnsi="宋体"/>
          <w:bCs/>
          <w:color w:val="auto"/>
          <w:szCs w:val="21"/>
        </w:rPr>
        <w:t>验收主体：</w:t>
      </w:r>
      <w:r>
        <w:rPr>
          <w:rFonts w:hint="eastAsia" w:ascii="宋体" w:hAnsi="宋体"/>
          <w:bCs/>
          <w:color w:val="auto"/>
          <w:szCs w:val="21"/>
          <w:u w:val="single"/>
          <w:lang w:val="en-US" w:eastAsia="zh-CN"/>
        </w:rPr>
        <w:t xml:space="preserve"> 深圳市公安局警察机动训练支队 </w:t>
      </w:r>
    </w:p>
    <w:p w14:paraId="0FAE7E7B">
      <w:pPr>
        <w:keepNext w:val="0"/>
        <w:keepLines w:val="0"/>
        <w:pageBreakBefore w:val="0"/>
        <w:widowControl w:val="0"/>
        <w:kinsoku/>
        <w:wordWrap/>
        <w:overflowPunct/>
        <w:topLinePunct w:val="0"/>
        <w:bidi w:val="0"/>
        <w:adjustRightInd/>
        <w:snapToGrid/>
        <w:spacing w:before="0" w:beforeLines="0" w:line="360" w:lineRule="auto"/>
        <w:ind w:firstLine="0" w:firstLineChars="0"/>
        <w:textAlignment w:val="auto"/>
        <w:rPr>
          <w:rFonts w:ascii="宋体" w:hAnsi="宋体"/>
          <w:bCs/>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是否邀请本项目的其他供应商</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FE"/>
      </w:r>
      <w:r>
        <w:rPr>
          <w:rFonts w:hint="eastAsia" w:ascii="宋体" w:hAnsi="宋体"/>
          <w:bCs/>
          <w:color w:val="auto"/>
          <w:szCs w:val="21"/>
        </w:rPr>
        <w:t>否</w:t>
      </w:r>
    </w:p>
    <w:p w14:paraId="1D9CC0F9">
      <w:pPr>
        <w:keepNext w:val="0"/>
        <w:keepLines w:val="0"/>
        <w:pageBreakBefore w:val="0"/>
        <w:widowControl w:val="0"/>
        <w:kinsoku/>
        <w:wordWrap/>
        <w:overflowPunct/>
        <w:topLinePunct w:val="0"/>
        <w:bidi w:val="0"/>
        <w:adjustRightInd/>
        <w:snapToGrid/>
        <w:spacing w:before="0" w:beforeLines="0" w:line="360" w:lineRule="auto"/>
        <w:ind w:firstLine="840" w:firstLineChars="400"/>
        <w:textAlignment w:val="auto"/>
        <w:rPr>
          <w:rFonts w:ascii="宋体" w:hAnsi="宋体"/>
          <w:bCs/>
          <w:color w:val="auto"/>
          <w:szCs w:val="21"/>
        </w:rPr>
      </w:pPr>
      <w:r>
        <w:rPr>
          <w:rFonts w:hint="eastAsia" w:ascii="宋体" w:hAnsi="宋体"/>
          <w:bCs/>
          <w:color w:val="auto"/>
          <w:szCs w:val="21"/>
        </w:rPr>
        <w:t>是否邀请专家</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FE"/>
      </w:r>
      <w:r>
        <w:rPr>
          <w:rFonts w:hint="eastAsia" w:ascii="宋体" w:hAnsi="宋体"/>
          <w:bCs/>
          <w:color w:val="auto"/>
          <w:szCs w:val="21"/>
        </w:rPr>
        <w:t>否</w:t>
      </w:r>
    </w:p>
    <w:p w14:paraId="044F57B9">
      <w:pPr>
        <w:keepNext w:val="0"/>
        <w:keepLines w:val="0"/>
        <w:pageBreakBefore w:val="0"/>
        <w:widowControl w:val="0"/>
        <w:kinsoku/>
        <w:wordWrap/>
        <w:overflowPunct/>
        <w:topLinePunct w:val="0"/>
        <w:bidi w:val="0"/>
        <w:adjustRightInd/>
        <w:snapToGrid/>
        <w:spacing w:before="0" w:beforeLines="0" w:line="360" w:lineRule="auto"/>
        <w:ind w:firstLine="840" w:firstLineChars="400"/>
        <w:textAlignment w:val="auto"/>
        <w:rPr>
          <w:rFonts w:ascii="宋体" w:hAnsi="宋体"/>
          <w:bCs/>
          <w:color w:val="auto"/>
          <w:szCs w:val="21"/>
        </w:rPr>
      </w:pPr>
      <w:r>
        <w:rPr>
          <w:rFonts w:hint="eastAsia" w:ascii="宋体" w:hAnsi="宋体"/>
          <w:bCs/>
          <w:color w:val="auto"/>
          <w:szCs w:val="21"/>
        </w:rPr>
        <w:t>是否邀请服务对象</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FE"/>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44CB0DA1">
      <w:pPr>
        <w:keepNext w:val="0"/>
        <w:keepLines w:val="0"/>
        <w:pageBreakBefore w:val="0"/>
        <w:widowControl w:val="0"/>
        <w:kinsoku/>
        <w:wordWrap/>
        <w:overflowPunct/>
        <w:topLinePunct w:val="0"/>
        <w:bidi w:val="0"/>
        <w:adjustRightInd/>
        <w:snapToGrid/>
        <w:spacing w:before="0" w:beforeLines="0" w:line="360" w:lineRule="auto"/>
        <w:ind w:firstLine="840" w:firstLineChars="400"/>
        <w:textAlignment w:val="auto"/>
        <w:rPr>
          <w:rFonts w:ascii="宋体" w:hAnsi="宋体"/>
          <w:bCs/>
          <w:color w:val="auto"/>
          <w:szCs w:val="21"/>
        </w:rPr>
      </w:pPr>
      <w:r>
        <w:rPr>
          <w:rFonts w:hint="eastAsia" w:ascii="宋体" w:hAnsi="宋体"/>
          <w:bCs/>
          <w:color w:val="auto"/>
          <w:szCs w:val="21"/>
        </w:rPr>
        <w:t>是否邀请第三方检测机构</w:t>
      </w:r>
      <w:r>
        <w:rPr>
          <w:rFonts w:hint="eastAsia" w:ascii="宋体" w:hAnsi="宋体"/>
          <w:bCs/>
          <w:color w:val="auto"/>
          <w:szCs w:val="21"/>
          <w:lang w:eastAsia="zh-CN"/>
        </w:rPr>
        <w:t>参加验收</w:t>
      </w:r>
      <w:r>
        <w:rPr>
          <w:rFonts w:hint="eastAsia" w:ascii="宋体" w:hAnsi="宋体"/>
          <w:bCs/>
          <w:color w:val="auto"/>
          <w:szCs w:val="21"/>
        </w:rPr>
        <w:t>：</w:t>
      </w:r>
      <w:r>
        <w:rPr>
          <w:rFonts w:hint="eastAsia" w:ascii="宋体" w:hAnsi="宋体" w:eastAsia="宋体" w:cs="宋体"/>
          <w:color w:val="auto"/>
          <w:sz w:val="21"/>
          <w:szCs w:val="21"/>
        </w:rPr>
        <w:sym w:font="Wingdings" w:char="00A8"/>
      </w:r>
      <w:r>
        <w:rPr>
          <w:rFonts w:hint="eastAsia" w:ascii="宋体" w:hAnsi="宋体"/>
          <w:bCs/>
          <w:color w:val="auto"/>
          <w:szCs w:val="21"/>
        </w:rPr>
        <w:t xml:space="preserve">是  </w:t>
      </w:r>
      <w:r>
        <w:rPr>
          <w:rFonts w:hint="eastAsia" w:ascii="宋体" w:hAnsi="宋体" w:eastAsia="宋体" w:cs="宋体"/>
          <w:color w:val="auto"/>
          <w:sz w:val="21"/>
          <w:szCs w:val="21"/>
        </w:rPr>
        <w:sym w:font="Wingdings" w:char="00FE"/>
      </w:r>
      <w:r>
        <w:rPr>
          <w:rFonts w:hint="eastAsia" w:ascii="宋体" w:hAnsi="宋体"/>
          <w:bCs/>
          <w:color w:val="auto"/>
          <w:szCs w:val="21"/>
        </w:rPr>
        <w:t>否</w:t>
      </w:r>
    </w:p>
    <w:p w14:paraId="05513F4C">
      <w:pPr>
        <w:keepNext w:val="0"/>
        <w:keepLines w:val="0"/>
        <w:pageBreakBefore w:val="0"/>
        <w:widowControl w:val="0"/>
        <w:kinsoku/>
        <w:wordWrap/>
        <w:overflowPunct/>
        <w:topLinePunct w:val="0"/>
        <w:bidi w:val="0"/>
        <w:adjustRightInd/>
        <w:snapToGrid/>
        <w:spacing w:before="0" w:beforeLines="0" w:line="360" w:lineRule="auto"/>
        <w:ind w:firstLine="840" w:firstLineChars="400"/>
        <w:textAlignment w:val="auto"/>
        <w:rPr>
          <w:rFonts w:hint="eastAsia" w:ascii="宋体" w:hAnsi="宋体"/>
          <w:bCs/>
          <w:color w:val="auto"/>
          <w:szCs w:val="21"/>
        </w:rPr>
      </w:pPr>
      <w:r>
        <w:rPr>
          <w:rFonts w:hint="eastAsia" w:ascii="宋体" w:hAnsi="宋体"/>
          <w:bCs/>
          <w:color w:val="auto"/>
          <w:szCs w:val="21"/>
          <w:lang w:eastAsia="zh-CN"/>
        </w:rPr>
        <w:t>是否进行抽查检测：</w:t>
      </w:r>
      <w:r>
        <w:rPr>
          <w:rFonts w:hint="eastAsia" w:ascii="宋体" w:hAnsi="宋体" w:eastAsia="宋体" w:cs="宋体"/>
          <w:color w:val="auto"/>
          <w:sz w:val="21"/>
          <w:szCs w:val="21"/>
        </w:rPr>
        <w:sym w:font="Wingdings" w:char="00FE"/>
      </w:r>
      <w:r>
        <w:rPr>
          <w:rFonts w:hint="eastAsia" w:ascii="宋体" w:hAnsi="宋体"/>
          <w:bCs/>
          <w:color w:val="auto"/>
          <w:szCs w:val="21"/>
        </w:rPr>
        <w:t>是</w:t>
      </w:r>
      <w:r>
        <w:rPr>
          <w:rFonts w:hint="eastAsia" w:ascii="宋体" w:hAnsi="宋体"/>
          <w:bCs/>
          <w:color w:val="auto"/>
          <w:szCs w:val="21"/>
          <w:lang w:eastAsia="zh-CN"/>
        </w:rPr>
        <w:t>，抽查比例：</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3%    </w:t>
      </w:r>
      <w:r>
        <w:rPr>
          <w:rFonts w:hint="eastAsia" w:ascii="宋体" w:hAnsi="宋体"/>
          <w:bCs/>
          <w:color w:val="auto"/>
          <w:szCs w:val="21"/>
        </w:rPr>
        <w:t xml:space="preserve"> </w:t>
      </w:r>
      <w:r>
        <w:rPr>
          <w:rFonts w:hint="eastAsia" w:ascii="宋体" w:hAnsi="宋体" w:eastAsia="宋体" w:cs="宋体"/>
          <w:color w:val="auto"/>
          <w:sz w:val="21"/>
          <w:szCs w:val="21"/>
        </w:rPr>
        <w:sym w:font="Wingdings" w:char="00A8"/>
      </w:r>
      <w:r>
        <w:rPr>
          <w:rFonts w:hint="eastAsia" w:ascii="宋体" w:hAnsi="宋体"/>
          <w:bCs/>
          <w:color w:val="auto"/>
          <w:szCs w:val="21"/>
        </w:rPr>
        <w:t>否</w:t>
      </w:r>
    </w:p>
    <w:p w14:paraId="61D056B1">
      <w:pPr>
        <w:keepNext w:val="0"/>
        <w:keepLines w:val="0"/>
        <w:pageBreakBefore w:val="0"/>
        <w:widowControl w:val="0"/>
        <w:kinsoku/>
        <w:wordWrap/>
        <w:overflowPunct/>
        <w:topLinePunct w:val="0"/>
        <w:bidi w:val="0"/>
        <w:adjustRightInd/>
        <w:snapToGrid/>
        <w:spacing w:before="0" w:beforeLines="0" w:line="360" w:lineRule="auto"/>
        <w:ind w:firstLine="420" w:firstLineChars="200"/>
        <w:textAlignment w:val="auto"/>
        <w:rPr>
          <w:rFonts w:hint="default" w:ascii="宋体" w:hAnsi="宋体" w:eastAsia="宋体"/>
          <w:bCs/>
          <w:color w:val="auto"/>
          <w:szCs w:val="21"/>
          <w:u w:val="single"/>
          <w:lang w:val="en-US" w:eastAsia="zh-CN"/>
        </w:rPr>
      </w:pPr>
      <w:r>
        <w:rPr>
          <w:rFonts w:hint="eastAsia" w:ascii="宋体" w:hAnsi="宋体"/>
          <w:bCs/>
          <w:color w:val="auto"/>
          <w:szCs w:val="21"/>
        </w:rPr>
        <w:t>（2）履约验收时间：</w:t>
      </w:r>
      <w:r>
        <w:rPr>
          <w:rFonts w:hint="eastAsia" w:ascii="宋体" w:hAnsi="宋体"/>
          <w:bCs/>
          <w:color w:val="auto"/>
          <w:szCs w:val="21"/>
          <w:u w:val="single"/>
          <w:lang w:val="en-US" w:eastAsia="zh-CN"/>
        </w:rPr>
        <w:t>布草每一次清洗都须由采购人的工作人员检查清洗后的布草作为验收流程。</w:t>
      </w:r>
    </w:p>
    <w:p w14:paraId="5BD86ECF">
      <w:pPr>
        <w:keepNext w:val="0"/>
        <w:keepLines w:val="0"/>
        <w:pageBreakBefore w:val="0"/>
        <w:widowControl w:val="0"/>
        <w:kinsoku/>
        <w:wordWrap/>
        <w:overflowPunct/>
        <w:topLinePunct w:val="0"/>
        <w:bidi w:val="0"/>
        <w:adjustRightInd/>
        <w:snapToGrid/>
        <w:spacing w:before="0" w:beforeLines="0" w:line="360" w:lineRule="auto"/>
        <w:ind w:firstLine="420" w:firstLineChars="200"/>
        <w:textAlignment w:val="auto"/>
        <w:rPr>
          <w:rFonts w:hint="eastAsia" w:ascii="宋体" w:hAnsi="宋体"/>
          <w:bCs/>
          <w:color w:val="auto"/>
          <w:szCs w:val="21"/>
        </w:rPr>
      </w:pPr>
      <w:r>
        <w:rPr>
          <w:rFonts w:hint="eastAsia" w:ascii="宋体" w:hAnsi="宋体"/>
          <w:bCs/>
          <w:color w:val="auto"/>
          <w:szCs w:val="21"/>
        </w:rPr>
        <w:t>（3）履约验收方式：</w:t>
      </w:r>
      <w:r>
        <w:rPr>
          <w:rFonts w:hint="eastAsia" w:ascii="宋体" w:hAnsi="宋体" w:eastAsia="宋体" w:cs="宋体"/>
          <w:color w:val="auto"/>
          <w:sz w:val="21"/>
          <w:szCs w:val="21"/>
        </w:rPr>
        <w:sym w:font="Wingdings" w:char="00FE"/>
      </w:r>
      <w:r>
        <w:rPr>
          <w:rFonts w:hint="eastAsia" w:ascii="宋体" w:hAnsi="宋体" w:cs="宋体"/>
          <w:color w:val="auto"/>
          <w:sz w:val="21"/>
          <w:szCs w:val="21"/>
          <w:lang w:val="en-US" w:eastAsia="zh-CN"/>
        </w:rPr>
        <w:t>每月</w:t>
      </w:r>
      <w:r>
        <w:rPr>
          <w:rFonts w:hint="eastAsia" w:ascii="宋体" w:hAnsi="宋体"/>
          <w:bCs/>
          <w:color w:val="auto"/>
          <w:szCs w:val="21"/>
        </w:rPr>
        <w:t xml:space="preserve">验收         </w:t>
      </w:r>
    </w:p>
    <w:p w14:paraId="749FB3A5">
      <w:pPr>
        <w:keepNext w:val="0"/>
        <w:keepLines w:val="0"/>
        <w:pageBreakBefore w:val="0"/>
        <w:widowControl w:val="0"/>
        <w:kinsoku/>
        <w:wordWrap/>
        <w:overflowPunct/>
        <w:topLinePunct w:val="0"/>
        <w:bidi w:val="0"/>
        <w:adjustRightInd/>
        <w:snapToGrid/>
        <w:spacing w:before="0" w:beforeLines="0" w:line="360" w:lineRule="auto"/>
        <w:ind w:firstLine="420" w:firstLineChars="200"/>
        <w:textAlignment w:val="auto"/>
        <w:rPr>
          <w:rFonts w:hint="default" w:ascii="宋体" w:hAnsi="宋体" w:eastAsiaTheme="minorEastAsia"/>
          <w:bCs/>
          <w:color w:val="auto"/>
          <w:szCs w:val="21"/>
          <w:u w:val="single"/>
          <w:lang w:val="en-US" w:eastAsia="zh-CN"/>
        </w:rPr>
      </w:pPr>
      <w:r>
        <w:rPr>
          <w:rFonts w:hint="eastAsia" w:ascii="宋体" w:hAnsi="宋体"/>
          <w:bCs/>
          <w:color w:val="auto"/>
          <w:szCs w:val="21"/>
        </w:rPr>
        <w:t>（</w:t>
      </w:r>
      <w:r>
        <w:rPr>
          <w:rFonts w:hint="eastAsia" w:ascii="宋体" w:hAnsi="宋体"/>
          <w:bCs/>
          <w:color w:val="auto"/>
          <w:szCs w:val="21"/>
          <w:lang w:val="en-US" w:eastAsia="zh-CN"/>
        </w:rPr>
        <w:t>4</w:t>
      </w:r>
      <w:r>
        <w:rPr>
          <w:rFonts w:hint="eastAsia" w:ascii="宋体" w:hAnsi="宋体"/>
          <w:bCs/>
          <w:color w:val="auto"/>
          <w:szCs w:val="21"/>
        </w:rPr>
        <w:t>）履约验收标准：</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按采购要求和清洗服务质量验收</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p>
    <w:p w14:paraId="64A28CEF">
      <w:pPr>
        <w:pStyle w:val="54"/>
        <w:keepNext w:val="0"/>
        <w:keepLines w:val="0"/>
        <w:pageBreakBefore w:val="0"/>
        <w:widowControl w:val="0"/>
        <w:kinsoku/>
        <w:wordWrap/>
        <w:overflowPunct/>
        <w:topLinePunct w:val="0"/>
        <w:bidi w:val="0"/>
        <w:adjustRightInd/>
        <w:snapToGrid/>
        <w:spacing w:beforeLines="0" w:line="360" w:lineRule="auto"/>
        <w:textAlignment w:val="auto"/>
        <w:rPr>
          <w:rFonts w:hint="eastAsia" w:ascii="宋体" w:hAnsi="宋体" w:eastAsia="宋体" w:cs="宋体"/>
          <w:color w:val="auto"/>
          <w:sz w:val="21"/>
          <w:lang w:eastAsia="zh-CN"/>
        </w:rPr>
      </w:pPr>
      <w:r>
        <w:rPr>
          <w:rFonts w:hint="eastAsia" w:ascii="宋体" w:hAnsi="宋体" w:eastAsia="宋体" w:cs="宋体"/>
          <w:bCs/>
          <w:color w:val="auto"/>
          <w:sz w:val="21"/>
          <w:szCs w:val="21"/>
          <w:u w:val="none"/>
          <w:lang w:eastAsia="zh-CN"/>
        </w:rPr>
        <w:t>（</w:t>
      </w:r>
      <w:r>
        <w:rPr>
          <w:rFonts w:hint="eastAsia" w:ascii="宋体" w:hAnsi="宋体" w:eastAsia="宋体" w:cs="宋体"/>
          <w:bCs/>
          <w:color w:val="auto"/>
          <w:sz w:val="21"/>
          <w:szCs w:val="21"/>
          <w:u w:val="none"/>
          <w:lang w:val="en-US" w:eastAsia="zh-CN"/>
        </w:rPr>
        <w:t>5</w:t>
      </w:r>
      <w:r>
        <w:rPr>
          <w:rFonts w:hint="eastAsia" w:ascii="宋体" w:hAnsi="宋体" w:eastAsia="宋体" w:cs="宋体"/>
          <w:bCs/>
          <w:color w:val="auto"/>
          <w:sz w:val="21"/>
          <w:szCs w:val="21"/>
          <w:u w:val="none"/>
          <w:lang w:eastAsia="zh-CN"/>
        </w:rPr>
        <w:t>）是否以采购活动中供应商提供的样品作为参考：</w:t>
      </w:r>
      <w:r>
        <w:rPr>
          <w:rFonts w:hint="eastAsia" w:ascii="宋体" w:hAnsi="宋体" w:eastAsia="宋体" w:cs="宋体"/>
          <w:color w:val="auto"/>
          <w:sz w:val="21"/>
          <w:szCs w:val="21"/>
        </w:rPr>
        <w:sym w:font="Wingdings" w:char="00A8"/>
      </w:r>
      <w:r>
        <w:rPr>
          <w:rFonts w:hint="eastAsia" w:ascii="宋体" w:hAnsi="宋体" w:eastAsia="宋体" w:cs="宋体"/>
          <w:bCs/>
          <w:color w:val="auto"/>
          <w:sz w:val="21"/>
          <w:szCs w:val="21"/>
        </w:rPr>
        <w:t xml:space="preserve">是  </w:t>
      </w:r>
      <w:r>
        <w:rPr>
          <w:rFonts w:hint="eastAsia" w:ascii="宋体" w:hAnsi="宋体" w:eastAsia="宋体" w:cs="宋体"/>
          <w:color w:val="auto"/>
          <w:sz w:val="21"/>
          <w:szCs w:val="21"/>
        </w:rPr>
        <w:sym w:font="Wingdings" w:char="00FE"/>
      </w:r>
      <w:r>
        <w:rPr>
          <w:rFonts w:hint="eastAsia" w:ascii="宋体" w:hAnsi="宋体" w:eastAsia="宋体" w:cs="宋体"/>
          <w:bCs/>
          <w:color w:val="auto"/>
          <w:sz w:val="21"/>
          <w:szCs w:val="21"/>
        </w:rPr>
        <w:t>否</w:t>
      </w:r>
    </w:p>
    <w:p w14:paraId="343935D1">
      <w:pPr>
        <w:keepNext w:val="0"/>
        <w:keepLines w:val="0"/>
        <w:pageBreakBefore w:val="0"/>
        <w:widowControl w:val="0"/>
        <w:kinsoku/>
        <w:wordWrap/>
        <w:overflowPunct/>
        <w:topLinePunct w:val="0"/>
        <w:bidi w:val="0"/>
        <w:adjustRightInd/>
        <w:snapToGrid/>
        <w:spacing w:before="0" w:beforeLines="0" w:line="360" w:lineRule="auto"/>
        <w:ind w:firstLine="420" w:firstLineChars="200"/>
        <w:textAlignment w:val="auto"/>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7BFC2C0F">
      <w:pPr>
        <w:keepNext w:val="0"/>
        <w:keepLines w:val="0"/>
        <w:pageBreakBefore w:val="0"/>
        <w:widowControl w:val="0"/>
        <w:kinsoku/>
        <w:wordWrap/>
        <w:overflowPunct/>
        <w:topLinePunct w:val="0"/>
        <w:bidi w:val="0"/>
        <w:adjustRightInd/>
        <w:snapToGrid/>
        <w:spacing w:before="0" w:beforeLines="0" w:line="360" w:lineRule="auto"/>
        <w:ind w:firstLine="420" w:firstLineChars="200"/>
        <w:textAlignment w:val="auto"/>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4603A575">
      <w:pPr>
        <w:keepNext w:val="0"/>
        <w:keepLines w:val="0"/>
        <w:pageBreakBefore w:val="0"/>
        <w:widowControl w:val="0"/>
        <w:kinsoku/>
        <w:wordWrap/>
        <w:overflowPunct/>
        <w:topLinePunct w:val="0"/>
        <w:bidi w:val="0"/>
        <w:adjustRightInd/>
        <w:snapToGrid/>
        <w:spacing w:before="0" w:beforeLines="0" w:line="360" w:lineRule="auto"/>
        <w:ind w:firstLine="420" w:firstLineChars="200"/>
        <w:textAlignment w:val="auto"/>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）政府采购合同专用条款</w:t>
      </w:r>
    </w:p>
    <w:p w14:paraId="61EC0077">
      <w:pPr>
        <w:keepNext w:val="0"/>
        <w:keepLines w:val="0"/>
        <w:pageBreakBefore w:val="0"/>
        <w:widowControl w:val="0"/>
        <w:kinsoku/>
        <w:wordWrap/>
        <w:overflowPunct/>
        <w:topLinePunct w:val="0"/>
        <w:bidi w:val="0"/>
        <w:adjustRightInd/>
        <w:snapToGrid/>
        <w:spacing w:before="0" w:beforeLines="0" w:line="360" w:lineRule="auto"/>
        <w:ind w:firstLine="420" w:firstLineChars="200"/>
        <w:textAlignment w:val="auto"/>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）政府采购合同通用条款</w:t>
      </w:r>
    </w:p>
    <w:p w14:paraId="2D1EA606">
      <w:pPr>
        <w:keepNext w:val="0"/>
        <w:keepLines w:val="0"/>
        <w:pageBreakBefore w:val="0"/>
        <w:widowControl w:val="0"/>
        <w:kinsoku/>
        <w:wordWrap/>
        <w:overflowPunct/>
        <w:topLinePunct w:val="0"/>
        <w:bidi w:val="0"/>
        <w:adjustRightInd/>
        <w:snapToGrid/>
        <w:spacing w:before="0" w:beforeLines="0" w:line="360" w:lineRule="auto"/>
        <w:ind w:firstLine="420" w:firstLineChars="200"/>
        <w:textAlignment w:val="auto"/>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7FD4A6D3">
      <w:pPr>
        <w:keepNext w:val="0"/>
        <w:keepLines w:val="0"/>
        <w:pageBreakBefore w:val="0"/>
        <w:widowControl w:val="0"/>
        <w:kinsoku/>
        <w:wordWrap/>
        <w:overflowPunct/>
        <w:topLinePunct w:val="0"/>
        <w:bidi w:val="0"/>
        <w:adjustRightInd/>
        <w:snapToGrid/>
        <w:spacing w:before="0" w:beforeLines="0" w:line="360" w:lineRule="auto"/>
        <w:ind w:firstLine="420" w:firstLineChars="200"/>
        <w:textAlignment w:val="auto"/>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）投标（响应）文件</w:t>
      </w:r>
    </w:p>
    <w:p w14:paraId="2C398AB0">
      <w:pPr>
        <w:keepNext w:val="0"/>
        <w:keepLines w:val="0"/>
        <w:pageBreakBefore w:val="0"/>
        <w:widowControl w:val="0"/>
        <w:kinsoku/>
        <w:wordWrap/>
        <w:overflowPunct/>
        <w:topLinePunct w:val="0"/>
        <w:bidi w:val="0"/>
        <w:adjustRightInd/>
        <w:snapToGrid/>
        <w:spacing w:before="0" w:beforeLines="0" w:line="360" w:lineRule="auto"/>
        <w:ind w:firstLine="420" w:firstLineChars="200"/>
        <w:textAlignment w:val="auto"/>
        <w:rPr>
          <w:rFonts w:ascii="宋体" w:hAnsi="宋体"/>
          <w:color w:val="auto"/>
          <w:szCs w:val="21"/>
        </w:rPr>
      </w:pPr>
      <w:r>
        <w:rPr>
          <w:rFonts w:hint="eastAsia" w:ascii="宋体" w:hAnsi="宋体"/>
          <w:color w:val="auto"/>
          <w:szCs w:val="21"/>
        </w:rPr>
        <w:t>（6）采购文件</w:t>
      </w:r>
    </w:p>
    <w:p w14:paraId="13402CAD">
      <w:pPr>
        <w:keepNext w:val="0"/>
        <w:keepLines w:val="0"/>
        <w:pageBreakBefore w:val="0"/>
        <w:widowControl w:val="0"/>
        <w:kinsoku/>
        <w:wordWrap/>
        <w:overflowPunct/>
        <w:topLinePunct w:val="0"/>
        <w:bidi w:val="0"/>
        <w:adjustRightInd/>
        <w:snapToGrid/>
        <w:spacing w:before="0" w:beforeLines="0" w:line="360" w:lineRule="auto"/>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（7）有关技术文件，</w:t>
      </w:r>
      <w:r>
        <w:rPr>
          <w:rFonts w:hint="eastAsia" w:ascii="宋体" w:hAnsi="宋体"/>
          <w:color w:val="auto"/>
          <w:szCs w:val="21"/>
          <w:lang w:val="en-US" w:eastAsia="zh-CN"/>
        </w:rPr>
        <w:t>检测报告</w:t>
      </w:r>
    </w:p>
    <w:p w14:paraId="02898A0F">
      <w:pPr>
        <w:pStyle w:val="54"/>
        <w:keepNext w:val="0"/>
        <w:keepLines w:val="0"/>
        <w:pageBreakBefore w:val="0"/>
        <w:widowControl w:val="0"/>
        <w:kinsoku/>
        <w:wordWrap/>
        <w:overflowPunct/>
        <w:topLinePunct w:val="0"/>
        <w:bidi w:val="0"/>
        <w:adjustRightInd/>
        <w:snapToGrid/>
        <w:spacing w:beforeLines="0" w:line="360" w:lineRule="auto"/>
        <w:textAlignment w:val="auto"/>
        <w:rPr>
          <w:rFonts w:hint="eastAsia" w:ascii="宋体" w:hAnsi="宋体" w:eastAsia="宋体" w:cs="宋体"/>
          <w:bCs w:val="0"/>
          <w:color w:val="auto"/>
          <w:kern w:val="2"/>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7DD813F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5.质量标准和要求</w:t>
      </w:r>
    </w:p>
    <w:p w14:paraId="123AE660">
      <w:pPr>
        <w:spacing w:line="360" w:lineRule="auto"/>
        <w:ind w:firstLine="420" w:firstLineChars="200"/>
        <w:jc w:val="left"/>
        <w:rPr>
          <w:rFonts w:asciiTheme="minorEastAsia" w:hAnsiTheme="minorEastAsia"/>
          <w:color w:val="auto"/>
          <w:szCs w:val="21"/>
        </w:rPr>
      </w:pPr>
      <w:r>
        <w:rPr>
          <w:rFonts w:hint="eastAsia" w:asciiTheme="minorEastAsia" w:hAnsiTheme="minorEastAsia"/>
          <w:color w:val="auto"/>
          <w:szCs w:val="21"/>
          <w:lang w:val="en-US" w:eastAsia="zh-CN"/>
        </w:rPr>
        <w:t>5</w:t>
      </w:r>
      <w:r>
        <w:rPr>
          <w:rFonts w:hint="eastAsia" w:asciiTheme="minorEastAsia" w:hAnsiTheme="minorEastAsia"/>
          <w:color w:val="auto"/>
          <w:szCs w:val="21"/>
        </w:rPr>
        <w:t>.1乙方所提供的</w:t>
      </w:r>
      <w:r>
        <w:rPr>
          <w:rFonts w:hint="eastAsia" w:asciiTheme="minorEastAsia" w:hAnsiTheme="minorEastAsia"/>
          <w:color w:val="auto"/>
          <w:szCs w:val="21"/>
          <w:lang w:val="en-US" w:eastAsia="zh-CN"/>
        </w:rPr>
        <w:t>布草清洗服务</w:t>
      </w:r>
      <w:r>
        <w:rPr>
          <w:rFonts w:hint="eastAsia" w:asciiTheme="minorEastAsia" w:hAnsiTheme="minorEastAsia"/>
          <w:color w:val="auto"/>
          <w:szCs w:val="21"/>
        </w:rPr>
        <w:t>标准按照国家标准或者行业标准或者企业标准明确。</w:t>
      </w:r>
      <w:r>
        <w:rPr>
          <w:rFonts w:hint="eastAsia" w:ascii="宋体" w:hAnsi="宋体" w:cs="宋体"/>
          <w:szCs w:val="21"/>
        </w:rPr>
        <w:t>服务标准符合《公共场所用品卫生标准WS205-2001》规定。</w:t>
      </w:r>
      <w:r>
        <w:rPr>
          <w:rFonts w:hint="eastAsia" w:asciiTheme="minorEastAsia" w:hAnsiTheme="minorEastAsia"/>
          <w:color w:val="auto"/>
          <w:szCs w:val="21"/>
        </w:rPr>
        <w:t>没有国家标准、行业标准或企业标准的，按照通常标准或者符合合同目的的特定标准确定。</w:t>
      </w:r>
    </w:p>
    <w:p w14:paraId="3589615D">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Theme="minorEastAsia" w:hAnsiTheme="minorEastAsia"/>
          <w:color w:val="auto"/>
          <w:szCs w:val="21"/>
        </w:rPr>
      </w:pPr>
      <w:r>
        <w:rPr>
          <w:rFonts w:hint="eastAsia" w:asciiTheme="minorEastAsia" w:hAnsiTheme="minorEastAsia"/>
          <w:color w:val="auto"/>
          <w:szCs w:val="21"/>
          <w:lang w:val="en-US" w:eastAsia="zh-CN"/>
        </w:rPr>
        <w:t>5</w:t>
      </w:r>
      <w:r>
        <w:rPr>
          <w:rFonts w:hint="eastAsia" w:asciiTheme="minorEastAsia" w:hAnsiTheme="minorEastAsia"/>
          <w:color w:val="auto"/>
          <w:szCs w:val="21"/>
        </w:rPr>
        <w:t>.2乙方应保证</w:t>
      </w:r>
      <w:r>
        <w:rPr>
          <w:rFonts w:hint="eastAsia" w:asciiTheme="minorEastAsia" w:hAnsiTheme="minorEastAsia"/>
          <w:color w:val="auto"/>
          <w:szCs w:val="21"/>
          <w:lang w:val="en-US" w:eastAsia="zh-CN"/>
        </w:rPr>
        <w:t>布草清洗</w:t>
      </w:r>
      <w:r>
        <w:rPr>
          <w:rFonts w:hint="eastAsia" w:asciiTheme="minorEastAsia" w:hAnsiTheme="minorEastAsia"/>
          <w:color w:val="auto"/>
          <w:szCs w:val="21"/>
        </w:rPr>
        <w:t>是完全符合甲方要求的</w:t>
      </w:r>
      <w:r>
        <w:rPr>
          <w:rFonts w:hint="eastAsia" w:asciiTheme="minorEastAsia" w:hAnsiTheme="minorEastAsia"/>
          <w:color w:val="auto"/>
          <w:szCs w:val="21"/>
          <w:lang w:val="en-US" w:eastAsia="zh-CN"/>
        </w:rPr>
        <w:t>服务</w:t>
      </w:r>
      <w:r>
        <w:rPr>
          <w:rFonts w:hint="eastAsia" w:asciiTheme="minorEastAsia" w:hAnsiTheme="minorEastAsia"/>
          <w:color w:val="auto"/>
          <w:szCs w:val="21"/>
        </w:rPr>
        <w:t>质量、</w:t>
      </w:r>
      <w:r>
        <w:rPr>
          <w:rFonts w:hint="eastAsia" w:asciiTheme="minorEastAsia" w:hAnsiTheme="minorEastAsia"/>
          <w:color w:val="auto"/>
          <w:szCs w:val="21"/>
          <w:lang w:val="en-US" w:eastAsia="zh-CN"/>
        </w:rPr>
        <w:t>清洗服务</w:t>
      </w:r>
      <w:r>
        <w:rPr>
          <w:rFonts w:hint="eastAsia" w:asciiTheme="minorEastAsia" w:hAnsiTheme="minorEastAsia"/>
          <w:color w:val="auto"/>
          <w:szCs w:val="21"/>
        </w:rPr>
        <w:t>的要求</w:t>
      </w:r>
      <w:r>
        <w:rPr>
          <w:rFonts w:hint="eastAsia" w:asciiTheme="minorEastAsia" w:hAnsiTheme="minorEastAsia"/>
          <w:color w:val="auto"/>
          <w:szCs w:val="21"/>
          <w:lang w:eastAsia="zh-CN"/>
        </w:rPr>
        <w:t>；</w:t>
      </w:r>
      <w:r>
        <w:rPr>
          <w:rFonts w:hint="eastAsia" w:asciiTheme="minorEastAsia" w:hAnsiTheme="minorEastAsia"/>
          <w:color w:val="auto"/>
          <w:szCs w:val="21"/>
          <w:lang w:val="en-US" w:eastAsia="zh-CN"/>
        </w:rPr>
        <w:t>符合应标时承诺的布草清洗服务的方案</w:t>
      </w:r>
      <w:r>
        <w:rPr>
          <w:rFonts w:hint="eastAsia" w:asciiTheme="minorEastAsia" w:hAnsiTheme="minorEastAsia"/>
          <w:color w:val="auto"/>
          <w:szCs w:val="21"/>
        </w:rPr>
        <w:t>。</w:t>
      </w:r>
    </w:p>
    <w:p w14:paraId="5CF3F435">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Theme="minorEastAsia" w:hAnsiTheme="minorEastAsia"/>
          <w:color w:val="auto"/>
          <w:szCs w:val="21"/>
        </w:rPr>
      </w:pPr>
      <w:r>
        <w:rPr>
          <w:rFonts w:hint="eastAsia" w:asciiTheme="minorEastAsia" w:hAnsiTheme="minorEastAsia"/>
          <w:color w:val="auto"/>
          <w:szCs w:val="21"/>
          <w:lang w:val="en-US" w:eastAsia="zh-CN"/>
        </w:rPr>
        <w:t>5.3</w:t>
      </w:r>
      <w:r>
        <w:rPr>
          <w:rFonts w:asciiTheme="minorEastAsia" w:hAnsiTheme="minorEastAsia"/>
          <w:color w:val="auto"/>
          <w:szCs w:val="21"/>
        </w:rPr>
        <w:t>乙方所</w:t>
      </w:r>
      <w:r>
        <w:rPr>
          <w:rFonts w:hint="eastAsia" w:asciiTheme="minorEastAsia" w:hAnsiTheme="minorEastAsia"/>
          <w:color w:val="auto"/>
          <w:szCs w:val="21"/>
          <w:lang w:val="en-US" w:eastAsia="zh-CN"/>
        </w:rPr>
        <w:t>清洗</w:t>
      </w:r>
      <w:r>
        <w:rPr>
          <w:rFonts w:asciiTheme="minorEastAsia" w:hAnsiTheme="minorEastAsia"/>
          <w:color w:val="auto"/>
          <w:szCs w:val="21"/>
        </w:rPr>
        <w:t>的全部</w:t>
      </w:r>
      <w:r>
        <w:rPr>
          <w:rFonts w:hint="eastAsia" w:asciiTheme="minorEastAsia" w:hAnsiTheme="minorEastAsia"/>
          <w:color w:val="auto"/>
          <w:szCs w:val="21"/>
          <w:lang w:val="en-US" w:eastAsia="zh-CN"/>
        </w:rPr>
        <w:t>布草</w:t>
      </w:r>
      <w:r>
        <w:rPr>
          <w:rFonts w:asciiTheme="minorEastAsia" w:hAnsiTheme="minorEastAsia"/>
          <w:color w:val="auto"/>
          <w:szCs w:val="21"/>
        </w:rPr>
        <w:t>均应按照标准保护措施进行包装，包装应适用于远距离运输、防潮、防野蛮装卸等要求，以确保</w:t>
      </w:r>
      <w:r>
        <w:rPr>
          <w:rFonts w:hint="eastAsia" w:asciiTheme="minorEastAsia" w:hAnsiTheme="minorEastAsia"/>
          <w:color w:val="auto"/>
          <w:szCs w:val="21"/>
          <w:lang w:val="en-US" w:eastAsia="zh-CN"/>
        </w:rPr>
        <w:t>清洗后的布草</w:t>
      </w:r>
      <w:r>
        <w:rPr>
          <w:rFonts w:asciiTheme="minorEastAsia" w:hAnsiTheme="minorEastAsia"/>
          <w:color w:val="auto"/>
          <w:szCs w:val="21"/>
        </w:rPr>
        <w:t>安全无损抵运指定交货地点。</w:t>
      </w:r>
    </w:p>
    <w:p w14:paraId="405F8FE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6.交货和验收</w:t>
      </w:r>
    </w:p>
    <w:p w14:paraId="7D219468">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Theme="minorEastAsia" w:hAnsiTheme="minorEastAsia"/>
          <w:color w:val="auto"/>
          <w:szCs w:val="21"/>
        </w:rPr>
      </w:pPr>
      <w:r>
        <w:rPr>
          <w:rFonts w:hint="eastAsia" w:asciiTheme="minorEastAsia" w:hAnsiTheme="minorEastAsia"/>
          <w:color w:val="auto"/>
          <w:szCs w:val="21"/>
          <w:lang w:val="en-US" w:eastAsia="zh-CN"/>
        </w:rPr>
        <w:t>6</w:t>
      </w:r>
      <w:r>
        <w:rPr>
          <w:rFonts w:asciiTheme="minorEastAsia" w:hAnsiTheme="minorEastAsia"/>
          <w:color w:val="auto"/>
          <w:szCs w:val="21"/>
        </w:rPr>
        <w:t>.1乙方应按照本合同或招投标文件规定的时间和方式</w:t>
      </w:r>
      <w:r>
        <w:rPr>
          <w:rFonts w:hint="eastAsia" w:asciiTheme="minorEastAsia" w:hAnsiTheme="minorEastAsia"/>
          <w:color w:val="auto"/>
          <w:szCs w:val="21"/>
          <w:lang w:eastAsia="zh-CN"/>
        </w:rPr>
        <w:t>，</w:t>
      </w:r>
      <w:r>
        <w:rPr>
          <w:rFonts w:hint="eastAsia" w:asciiTheme="minorEastAsia" w:hAnsiTheme="minorEastAsia"/>
          <w:color w:val="auto"/>
          <w:szCs w:val="21"/>
          <w:lang w:val="en-US" w:eastAsia="zh-CN"/>
        </w:rPr>
        <w:t>上门收取需清洗的布草，并按时</w:t>
      </w:r>
      <w:r>
        <w:rPr>
          <w:rFonts w:asciiTheme="minorEastAsia" w:hAnsiTheme="minorEastAsia"/>
          <w:color w:val="auto"/>
          <w:szCs w:val="21"/>
        </w:rPr>
        <w:t>向甲方交付</w:t>
      </w:r>
      <w:r>
        <w:rPr>
          <w:rFonts w:hint="eastAsia" w:asciiTheme="minorEastAsia" w:hAnsiTheme="minorEastAsia"/>
          <w:color w:val="auto"/>
          <w:szCs w:val="21"/>
          <w:lang w:val="en-US" w:eastAsia="zh-CN"/>
        </w:rPr>
        <w:t>每一次清洗的布草</w:t>
      </w:r>
      <w:r>
        <w:rPr>
          <w:rFonts w:asciiTheme="minorEastAsia" w:hAnsiTheme="minorEastAsia"/>
          <w:color w:val="auto"/>
          <w:szCs w:val="21"/>
        </w:rPr>
        <w:t>，交货地点由甲方指定。因</w:t>
      </w:r>
      <w:r>
        <w:rPr>
          <w:rFonts w:hint="eastAsia" w:asciiTheme="minorEastAsia" w:hAnsiTheme="minorEastAsia"/>
          <w:color w:val="auto"/>
          <w:szCs w:val="21"/>
          <w:lang w:val="en-US" w:eastAsia="zh-CN"/>
        </w:rPr>
        <w:t>上门收取布草、来回运输布草</w:t>
      </w:r>
      <w:r>
        <w:rPr>
          <w:rFonts w:asciiTheme="minorEastAsia" w:hAnsiTheme="minorEastAsia"/>
          <w:color w:val="auto"/>
          <w:szCs w:val="21"/>
        </w:rPr>
        <w:t>产生的费用由乙方自行承担。</w:t>
      </w:r>
    </w:p>
    <w:p w14:paraId="60EA42EA">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Theme="minorEastAsia" w:hAnsiTheme="minorEastAsia"/>
          <w:color w:val="auto"/>
          <w:szCs w:val="21"/>
        </w:rPr>
      </w:pPr>
      <w:r>
        <w:rPr>
          <w:rFonts w:hint="eastAsia" w:asciiTheme="minorEastAsia" w:hAnsiTheme="minorEastAsia"/>
          <w:color w:val="auto"/>
          <w:szCs w:val="21"/>
          <w:lang w:val="en-US" w:eastAsia="zh-CN"/>
        </w:rPr>
        <w:t>6</w:t>
      </w:r>
      <w:r>
        <w:rPr>
          <w:rFonts w:asciiTheme="minorEastAsia" w:hAnsiTheme="minorEastAsia"/>
          <w:color w:val="auto"/>
          <w:szCs w:val="21"/>
        </w:rPr>
        <w:t>.2乙方</w:t>
      </w:r>
      <w:r>
        <w:rPr>
          <w:rFonts w:hint="eastAsia" w:asciiTheme="minorEastAsia" w:hAnsiTheme="minorEastAsia"/>
          <w:color w:val="auto"/>
          <w:szCs w:val="21"/>
          <w:lang w:val="en-US" w:eastAsia="zh-CN"/>
        </w:rPr>
        <w:t>提供的布草洗涤服务</w:t>
      </w:r>
      <w:r>
        <w:rPr>
          <w:rFonts w:asciiTheme="minorEastAsia" w:hAnsiTheme="minorEastAsia"/>
          <w:color w:val="auto"/>
          <w:szCs w:val="21"/>
        </w:rPr>
        <w:t>应当完全符合招投标文件所规定的</w:t>
      </w:r>
      <w:r>
        <w:rPr>
          <w:rFonts w:hint="eastAsia" w:asciiTheme="minorEastAsia" w:hAnsiTheme="minorEastAsia"/>
          <w:color w:val="auto"/>
          <w:szCs w:val="21"/>
          <w:lang w:val="en-US" w:eastAsia="zh-CN"/>
        </w:rPr>
        <w:t>洗涤</w:t>
      </w:r>
      <w:r>
        <w:rPr>
          <w:rFonts w:asciiTheme="minorEastAsia" w:hAnsiTheme="minorEastAsia"/>
          <w:color w:val="auto"/>
          <w:szCs w:val="21"/>
        </w:rPr>
        <w:t>质量和规格要求。乙方提供的货物不符合招投标文件和合同规定的，甲方有权拒收货物，由此引起的风险，由乙方承担。</w:t>
      </w:r>
    </w:p>
    <w:p w14:paraId="1C9E6C05">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Theme="minorEastAsia" w:hAnsiTheme="minorEastAsia"/>
          <w:color w:val="auto"/>
          <w:szCs w:val="21"/>
        </w:rPr>
      </w:pPr>
      <w:r>
        <w:rPr>
          <w:rFonts w:hint="eastAsia" w:asciiTheme="minorEastAsia" w:hAnsiTheme="minorEastAsia"/>
          <w:color w:val="auto"/>
          <w:szCs w:val="21"/>
          <w:lang w:val="en-US" w:eastAsia="zh-CN"/>
        </w:rPr>
        <w:t>6</w:t>
      </w:r>
      <w:r>
        <w:rPr>
          <w:rFonts w:asciiTheme="minorEastAsia" w:hAnsiTheme="minorEastAsia"/>
          <w:color w:val="auto"/>
          <w:szCs w:val="21"/>
        </w:rPr>
        <w:t>.3</w:t>
      </w:r>
      <w:r>
        <w:rPr>
          <w:rFonts w:hint="eastAsia" w:asciiTheme="minorEastAsia" w:hAnsiTheme="minorEastAsia"/>
          <w:color w:val="auto"/>
          <w:szCs w:val="21"/>
          <w:lang w:val="en-US" w:eastAsia="zh-CN"/>
        </w:rPr>
        <w:t>乙方应当在接到甲方布草洗涤服务需求的24小时内响应服务，在规定的时间内上门提供相关服务</w:t>
      </w:r>
      <w:r>
        <w:rPr>
          <w:rFonts w:hint="eastAsia" w:asciiTheme="minorEastAsia" w:hAnsiTheme="minorEastAsia"/>
          <w:color w:val="auto"/>
          <w:szCs w:val="21"/>
        </w:rPr>
        <w:t>。</w:t>
      </w:r>
    </w:p>
    <w:p w14:paraId="0144873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7</w:t>
      </w:r>
      <w:r>
        <w:rPr>
          <w:rFonts w:hint="eastAsia" w:ascii="宋体" w:hAnsi="宋体" w:eastAsia="宋体" w:cs="宋体"/>
          <w:b/>
          <w:bCs/>
          <w:color w:val="auto"/>
          <w:kern w:val="2"/>
          <w:sz w:val="21"/>
          <w:szCs w:val="21"/>
          <w:lang w:val="en-US" w:eastAsia="zh-CN" w:bidi="ar-SA"/>
        </w:rPr>
        <w:t>.货款支付</w:t>
      </w:r>
    </w:p>
    <w:p w14:paraId="623D3B4A">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Theme="minorEastAsia" w:hAnsiTheme="minorEastAsia"/>
          <w:color w:val="auto"/>
          <w:szCs w:val="21"/>
        </w:rPr>
      </w:pPr>
      <w:r>
        <w:rPr>
          <w:rFonts w:hint="eastAsia" w:asciiTheme="minorEastAsia" w:hAnsiTheme="minorEastAsia"/>
          <w:color w:val="auto"/>
          <w:szCs w:val="21"/>
          <w:lang w:val="en-US" w:eastAsia="zh-CN"/>
        </w:rPr>
        <w:t>7</w:t>
      </w:r>
      <w:r>
        <w:rPr>
          <w:rFonts w:hint="eastAsia" w:asciiTheme="minorEastAsia" w:hAnsiTheme="minorEastAsia"/>
          <w:color w:val="auto"/>
          <w:szCs w:val="21"/>
        </w:rPr>
        <w:t>.1本合同以人民币付款。</w:t>
      </w:r>
    </w:p>
    <w:p w14:paraId="614F398E">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7</w:t>
      </w:r>
      <w:r>
        <w:rPr>
          <w:rFonts w:hint="eastAsia" w:asciiTheme="minorEastAsia" w:hAnsiTheme="minorEastAsia"/>
          <w:color w:val="auto"/>
          <w:szCs w:val="21"/>
        </w:rPr>
        <w:t>.2付款条件：</w:t>
      </w:r>
      <w:r>
        <w:rPr>
          <w:rFonts w:hint="eastAsia" w:asciiTheme="minorEastAsia" w:hAnsiTheme="minorEastAsia"/>
          <w:color w:val="auto"/>
          <w:szCs w:val="21"/>
          <w:lang w:val="en-US" w:eastAsia="zh-CN"/>
        </w:rPr>
        <w:t>签订合同后乙方即可按合同要求进行服务履约，每月定期与甲方工作人员和业务负责人合适洗涤服务工作量，双方确认无误后，乙方开具合格有效的发票，交于甲方。甲方凭有效发票对公转账。因甲方使用的是财政资金，甲方在规定的付款时间内向政府财政支付部门提出办理财政支付申请手续后（不含政府财政支付部门审核的时间），即视为甲方已经按期支付，实际付款到账时间及金额以支付部门时间及金额为准，甲方不承担任何逾期付款的违约责任。</w:t>
      </w:r>
    </w:p>
    <w:p w14:paraId="5F7E1A3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8</w:t>
      </w:r>
      <w:r>
        <w:rPr>
          <w:rFonts w:hint="eastAsia" w:ascii="宋体" w:hAnsi="宋体" w:eastAsia="宋体" w:cs="宋体"/>
          <w:b/>
          <w:bCs/>
          <w:color w:val="auto"/>
          <w:kern w:val="2"/>
          <w:sz w:val="21"/>
          <w:szCs w:val="21"/>
          <w:lang w:val="en-US" w:eastAsia="zh-CN" w:bidi="ar-SA"/>
        </w:rPr>
        <w:t>.违约责任</w:t>
      </w:r>
    </w:p>
    <w:p w14:paraId="25D5C4DE">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Theme="minorEastAsia" w:hAnsiTheme="minorEastAsia"/>
          <w:color w:val="auto"/>
          <w:szCs w:val="21"/>
        </w:rPr>
      </w:pPr>
      <w:r>
        <w:rPr>
          <w:rFonts w:hint="eastAsia" w:asciiTheme="minorEastAsia" w:hAnsiTheme="minorEastAsia"/>
          <w:color w:val="auto"/>
          <w:szCs w:val="21"/>
          <w:lang w:val="en-US" w:eastAsia="zh-CN"/>
        </w:rPr>
        <w:t>8</w:t>
      </w:r>
      <w:r>
        <w:rPr>
          <w:rFonts w:asciiTheme="minorEastAsia" w:hAnsiTheme="minorEastAsia"/>
          <w:color w:val="auto"/>
          <w:szCs w:val="21"/>
        </w:rPr>
        <w:t>.1乙方</w:t>
      </w:r>
      <w:r>
        <w:rPr>
          <w:rFonts w:hint="eastAsia" w:asciiTheme="minorEastAsia" w:hAnsiTheme="minorEastAsia"/>
          <w:color w:val="auto"/>
          <w:szCs w:val="21"/>
          <w:lang w:val="en-US" w:eastAsia="zh-CN"/>
        </w:rPr>
        <w:t>接到甲方服务需求通知后，无故</w:t>
      </w:r>
      <w:r>
        <w:rPr>
          <w:rFonts w:asciiTheme="minorEastAsia" w:hAnsiTheme="minorEastAsia"/>
          <w:color w:val="auto"/>
          <w:szCs w:val="21"/>
        </w:rPr>
        <w:t>逾期</w:t>
      </w:r>
      <w:r>
        <w:rPr>
          <w:rFonts w:hint="eastAsia" w:asciiTheme="minorEastAsia" w:hAnsiTheme="minorEastAsia"/>
          <w:color w:val="auto"/>
          <w:szCs w:val="21"/>
          <w:lang w:val="en-US" w:eastAsia="zh-CN"/>
        </w:rPr>
        <w:t>未进行布草洗涤服务</w:t>
      </w:r>
      <w:r>
        <w:rPr>
          <w:rFonts w:hint="eastAsia" w:asciiTheme="minorEastAsia" w:hAnsiTheme="minorEastAsia"/>
          <w:color w:val="auto"/>
          <w:szCs w:val="21"/>
        </w:rPr>
        <w:t>，</w:t>
      </w:r>
      <w:r>
        <w:rPr>
          <w:rFonts w:asciiTheme="minorEastAsia" w:hAnsiTheme="minorEastAsia"/>
          <w:color w:val="auto"/>
          <w:szCs w:val="21"/>
        </w:rPr>
        <w:t>每逾期1天，乙方向甲方偿付逾期</w:t>
      </w:r>
      <w:r>
        <w:rPr>
          <w:rFonts w:hint="eastAsia" w:asciiTheme="minorEastAsia" w:hAnsiTheme="minorEastAsia"/>
          <w:color w:val="auto"/>
          <w:szCs w:val="21"/>
          <w:lang w:val="en-US" w:eastAsia="zh-CN"/>
        </w:rPr>
        <w:t>本月洗涤服务</w:t>
      </w:r>
      <w:r>
        <w:rPr>
          <w:rFonts w:asciiTheme="minorEastAsia" w:hAnsiTheme="minorEastAsia"/>
          <w:color w:val="auto"/>
          <w:szCs w:val="21"/>
        </w:rPr>
        <w:t>总额的</w:t>
      </w:r>
      <w:r>
        <w:rPr>
          <w:rFonts w:hint="eastAsia" w:asciiTheme="minorEastAsia" w:hAnsiTheme="minorEastAsia"/>
          <w:color w:val="auto"/>
          <w:szCs w:val="21"/>
        </w:rPr>
        <w:t>【</w:t>
      </w:r>
      <w:r>
        <w:rPr>
          <w:rFonts w:hint="eastAsia" w:asciiTheme="minorEastAsia" w:hAnsiTheme="minorEastAsia"/>
          <w:color w:val="auto"/>
          <w:szCs w:val="21"/>
          <w:lang w:val="en-US" w:eastAsia="zh-CN"/>
        </w:rPr>
        <w:t>5</w:t>
      </w:r>
      <w:r>
        <w:rPr>
          <w:rFonts w:hint="eastAsia" w:asciiTheme="minorEastAsia" w:hAnsiTheme="minorEastAsia"/>
          <w:color w:val="auto"/>
          <w:szCs w:val="21"/>
        </w:rPr>
        <w:t>】</w:t>
      </w:r>
      <w:r>
        <w:rPr>
          <w:rFonts w:asciiTheme="minorEastAsia" w:hAnsiTheme="minorEastAsia"/>
          <w:color w:val="auto"/>
          <w:szCs w:val="21"/>
        </w:rPr>
        <w:t>‰的滞纳金</w:t>
      </w:r>
      <w:r>
        <w:rPr>
          <w:rFonts w:hint="eastAsia" w:asciiTheme="minorEastAsia" w:hAnsiTheme="minorEastAsia"/>
          <w:color w:val="auto"/>
          <w:szCs w:val="21"/>
        </w:rPr>
        <w:t>。如乙方</w:t>
      </w:r>
      <w:r>
        <w:rPr>
          <w:rFonts w:hint="eastAsia" w:asciiTheme="minorEastAsia" w:hAnsiTheme="minorEastAsia"/>
          <w:color w:val="auto"/>
          <w:szCs w:val="21"/>
          <w:lang w:val="en-US" w:eastAsia="zh-CN"/>
        </w:rPr>
        <w:t>未与甲方沟通，无故</w:t>
      </w:r>
      <w:r>
        <w:rPr>
          <w:rFonts w:hint="eastAsia" w:asciiTheme="minorEastAsia" w:hAnsiTheme="minorEastAsia"/>
          <w:color w:val="auto"/>
          <w:szCs w:val="21"/>
        </w:rPr>
        <w:t>逾期</w:t>
      </w:r>
      <w:r>
        <w:rPr>
          <w:rFonts w:hint="eastAsia" w:asciiTheme="minorEastAsia" w:hAnsiTheme="minorEastAsia"/>
          <w:color w:val="auto"/>
          <w:szCs w:val="21"/>
          <w:lang w:val="en-US" w:eastAsia="zh-CN"/>
        </w:rPr>
        <w:t>服务多达3次，严重影响甲方住宿布草适用正常保障工作</w:t>
      </w:r>
      <w:r>
        <w:rPr>
          <w:rFonts w:hint="eastAsia" w:asciiTheme="minorEastAsia" w:hAnsiTheme="minorEastAsia"/>
          <w:color w:val="auto"/>
          <w:szCs w:val="21"/>
        </w:rPr>
        <w:t>，甲方有权解除合同，同时乙方应向甲方支付</w:t>
      </w:r>
      <w:r>
        <w:rPr>
          <w:rFonts w:hint="eastAsia" w:asciiTheme="minorEastAsia" w:hAnsiTheme="minorEastAsia"/>
          <w:color w:val="auto"/>
          <w:szCs w:val="21"/>
          <w:lang w:val="en-US" w:eastAsia="zh-CN"/>
        </w:rPr>
        <w:t>合同上限</w:t>
      </w:r>
      <w:r>
        <w:rPr>
          <w:rFonts w:hint="eastAsia" w:asciiTheme="minorEastAsia" w:hAnsiTheme="minorEastAsia"/>
          <w:color w:val="auto"/>
          <w:szCs w:val="21"/>
        </w:rPr>
        <w:t>价【</w:t>
      </w:r>
      <w:r>
        <w:rPr>
          <w:rFonts w:hint="eastAsia" w:asciiTheme="minorEastAsia" w:hAnsiTheme="minorEastAsia"/>
          <w:color w:val="auto"/>
          <w:szCs w:val="21"/>
          <w:lang w:val="en-US" w:eastAsia="zh-CN"/>
        </w:rPr>
        <w:t>30</w:t>
      </w:r>
      <w:r>
        <w:rPr>
          <w:rFonts w:hint="eastAsia" w:asciiTheme="minorEastAsia" w:hAnsiTheme="minorEastAsia"/>
          <w:color w:val="auto"/>
          <w:szCs w:val="21"/>
        </w:rPr>
        <w:t>】％的违约金。</w:t>
      </w:r>
    </w:p>
    <w:p w14:paraId="5CFCA543">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Theme="minorEastAsia" w:hAnsiTheme="minorEastAsia"/>
          <w:color w:val="auto"/>
          <w:szCs w:val="21"/>
        </w:rPr>
      </w:pPr>
      <w:r>
        <w:rPr>
          <w:rFonts w:hint="eastAsia" w:asciiTheme="minorEastAsia" w:hAnsiTheme="minorEastAsia"/>
          <w:color w:val="auto"/>
          <w:szCs w:val="21"/>
          <w:lang w:val="en-US" w:eastAsia="zh-CN"/>
        </w:rPr>
        <w:t>8</w:t>
      </w:r>
      <w:r>
        <w:rPr>
          <w:rFonts w:asciiTheme="minorEastAsia" w:hAnsiTheme="minorEastAsia"/>
          <w:color w:val="auto"/>
          <w:szCs w:val="21"/>
        </w:rPr>
        <w:t>.</w:t>
      </w:r>
      <w:r>
        <w:rPr>
          <w:rFonts w:hint="eastAsia" w:asciiTheme="minorEastAsia" w:hAnsiTheme="minorEastAsia"/>
          <w:color w:val="auto"/>
          <w:szCs w:val="21"/>
          <w:lang w:val="en-US" w:eastAsia="zh-CN"/>
        </w:rPr>
        <w:t>2</w:t>
      </w:r>
      <w:r>
        <w:rPr>
          <w:rFonts w:asciiTheme="minorEastAsia" w:hAnsiTheme="minorEastAsia"/>
          <w:color w:val="auto"/>
          <w:szCs w:val="21"/>
        </w:rPr>
        <w:t>乙方所交付的</w:t>
      </w:r>
      <w:r>
        <w:rPr>
          <w:rFonts w:hint="eastAsia" w:asciiTheme="minorEastAsia" w:hAnsiTheme="minorEastAsia"/>
          <w:color w:val="auto"/>
          <w:szCs w:val="21"/>
          <w:lang w:val="en-US" w:eastAsia="zh-CN"/>
        </w:rPr>
        <w:t>洗涤后的布草</w:t>
      </w:r>
      <w:r>
        <w:rPr>
          <w:rFonts w:asciiTheme="minorEastAsia" w:hAnsiTheme="minorEastAsia"/>
          <w:color w:val="auto"/>
          <w:szCs w:val="21"/>
        </w:rPr>
        <w:t>不符合合同规定的，甲方有权拒收。甲方拒收的，乙方应</w:t>
      </w:r>
      <w:r>
        <w:rPr>
          <w:rFonts w:hint="eastAsia" w:asciiTheme="minorEastAsia" w:hAnsiTheme="minorEastAsia"/>
          <w:color w:val="auto"/>
          <w:szCs w:val="21"/>
          <w:lang w:val="en-US" w:eastAsia="zh-CN"/>
        </w:rPr>
        <w:t>及时采取补救措施，在与甲方约定的交货期限内向甲方提供符合规定的、干净的布草，否则乙方应按本合同第8.1条约定向甲方承担违约责任</w:t>
      </w:r>
      <w:r>
        <w:rPr>
          <w:rFonts w:asciiTheme="minorEastAsia" w:hAnsiTheme="minorEastAsia"/>
          <w:color w:val="auto"/>
          <w:szCs w:val="21"/>
        </w:rPr>
        <w:t>。</w:t>
      </w:r>
    </w:p>
    <w:p w14:paraId="6BEE5742">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Theme="minorEastAsia" w:hAnsiTheme="minorEastAsia"/>
          <w:color w:val="auto"/>
          <w:szCs w:val="21"/>
        </w:rPr>
      </w:pPr>
      <w:r>
        <w:rPr>
          <w:rFonts w:hint="eastAsia" w:asciiTheme="minorEastAsia" w:hAnsiTheme="minorEastAsia"/>
          <w:color w:val="auto"/>
          <w:szCs w:val="21"/>
          <w:lang w:val="en-US" w:eastAsia="zh-CN"/>
        </w:rPr>
        <w:t>8</w:t>
      </w:r>
      <w:r>
        <w:rPr>
          <w:rFonts w:asciiTheme="minorEastAsia" w:hAnsiTheme="minorEastAsia"/>
          <w:color w:val="auto"/>
          <w:szCs w:val="21"/>
        </w:rPr>
        <w:t>.</w:t>
      </w:r>
      <w:r>
        <w:rPr>
          <w:rFonts w:hint="eastAsia" w:asciiTheme="minorEastAsia" w:hAnsiTheme="minorEastAsia"/>
          <w:color w:val="auto"/>
          <w:szCs w:val="21"/>
          <w:lang w:val="en-US" w:eastAsia="zh-CN"/>
        </w:rPr>
        <w:t>3</w:t>
      </w:r>
      <w:r>
        <w:rPr>
          <w:rFonts w:asciiTheme="minorEastAsia" w:hAnsiTheme="minorEastAsia"/>
          <w:color w:val="auto"/>
          <w:szCs w:val="21"/>
        </w:rPr>
        <w:t>在</w:t>
      </w:r>
      <w:r>
        <w:rPr>
          <w:rFonts w:hint="eastAsia" w:asciiTheme="minorEastAsia" w:hAnsiTheme="minorEastAsia"/>
          <w:color w:val="auto"/>
          <w:szCs w:val="21"/>
          <w:lang w:val="en-US" w:eastAsia="zh-CN"/>
        </w:rPr>
        <w:t>本合同约定</w:t>
      </w:r>
      <w:r>
        <w:rPr>
          <w:rFonts w:asciiTheme="minorEastAsia" w:hAnsiTheme="minorEastAsia"/>
          <w:color w:val="auto"/>
          <w:szCs w:val="21"/>
        </w:rPr>
        <w:t>的或国家规定的质量保证期内（取两者中最长的期限），</w:t>
      </w:r>
      <w:r>
        <w:rPr>
          <w:rFonts w:hint="eastAsia" w:asciiTheme="minorEastAsia" w:hAnsiTheme="minorEastAsia"/>
          <w:color w:val="auto"/>
          <w:szCs w:val="21"/>
          <w:lang w:val="en-US" w:eastAsia="zh-CN"/>
        </w:rPr>
        <w:t>洗涤后的布草出现质量问题的，乙方应无条件进行重新清洗服务，</w:t>
      </w:r>
      <w:r>
        <w:rPr>
          <w:rFonts w:asciiTheme="minorEastAsia" w:hAnsiTheme="minorEastAsia"/>
          <w:color w:val="auto"/>
          <w:szCs w:val="21"/>
        </w:rPr>
        <w:t>如经乙方两次</w:t>
      </w:r>
      <w:r>
        <w:rPr>
          <w:rFonts w:hint="eastAsia" w:asciiTheme="minorEastAsia" w:hAnsiTheme="minorEastAsia"/>
          <w:color w:val="auto"/>
          <w:szCs w:val="21"/>
        </w:rPr>
        <w:t>更换</w:t>
      </w:r>
      <w:r>
        <w:rPr>
          <w:rFonts w:hint="eastAsia" w:asciiTheme="minorEastAsia" w:hAnsiTheme="minorEastAsia"/>
          <w:color w:val="auto"/>
          <w:szCs w:val="21"/>
          <w:lang w:val="en-US" w:eastAsia="zh-CN"/>
        </w:rPr>
        <w:t>清洗</w:t>
      </w:r>
      <w:r>
        <w:rPr>
          <w:rFonts w:asciiTheme="minorEastAsia" w:hAnsiTheme="minorEastAsia"/>
          <w:color w:val="auto"/>
          <w:szCs w:val="21"/>
        </w:rPr>
        <w:t>，</w:t>
      </w:r>
      <w:r>
        <w:rPr>
          <w:rFonts w:hint="eastAsia" w:asciiTheme="minorEastAsia" w:hAnsiTheme="minorEastAsia"/>
          <w:color w:val="auto"/>
          <w:szCs w:val="21"/>
          <w:lang w:val="en-US" w:eastAsia="zh-CN"/>
        </w:rPr>
        <w:t>不布草清洁情况</w:t>
      </w:r>
      <w:r>
        <w:rPr>
          <w:rFonts w:asciiTheme="minorEastAsia" w:hAnsiTheme="minorEastAsia"/>
          <w:color w:val="auto"/>
          <w:szCs w:val="21"/>
        </w:rPr>
        <w:t>仍不能达到合同约定</w:t>
      </w:r>
      <w:r>
        <w:rPr>
          <w:rFonts w:hint="eastAsia" w:asciiTheme="minorEastAsia" w:hAnsiTheme="minorEastAsia"/>
          <w:color w:val="auto"/>
          <w:szCs w:val="21"/>
        </w:rPr>
        <w:t>的</w:t>
      </w:r>
      <w:r>
        <w:rPr>
          <w:rFonts w:asciiTheme="minorEastAsia" w:hAnsiTheme="minorEastAsia"/>
          <w:color w:val="auto"/>
          <w:szCs w:val="21"/>
        </w:rPr>
        <w:t>标准，甲方有权</w:t>
      </w:r>
      <w:r>
        <w:rPr>
          <w:rFonts w:hint="eastAsia" w:asciiTheme="minorEastAsia" w:hAnsiTheme="minorEastAsia"/>
          <w:color w:val="auto"/>
          <w:szCs w:val="21"/>
          <w:lang w:val="en-US" w:eastAsia="zh-CN"/>
        </w:rPr>
        <w:t>按照8.1条约定向</w:t>
      </w:r>
      <w:r>
        <w:rPr>
          <w:rFonts w:asciiTheme="minorEastAsia" w:hAnsiTheme="minorEastAsia"/>
          <w:color w:val="auto"/>
          <w:szCs w:val="21"/>
        </w:rPr>
        <w:t>乙方</w:t>
      </w:r>
      <w:r>
        <w:rPr>
          <w:rFonts w:hint="eastAsia" w:asciiTheme="minorEastAsia" w:hAnsiTheme="minorEastAsia"/>
          <w:color w:val="auto"/>
          <w:szCs w:val="21"/>
          <w:lang w:val="en-US" w:eastAsia="zh-CN"/>
        </w:rPr>
        <w:t>要求</w:t>
      </w:r>
      <w:r>
        <w:rPr>
          <w:rFonts w:asciiTheme="minorEastAsia" w:hAnsiTheme="minorEastAsia"/>
          <w:color w:val="auto"/>
          <w:szCs w:val="21"/>
        </w:rPr>
        <w:t>退回</w:t>
      </w:r>
      <w:r>
        <w:rPr>
          <w:rFonts w:hint="eastAsia" w:asciiTheme="minorEastAsia" w:hAnsiTheme="minorEastAsia"/>
          <w:color w:val="auto"/>
          <w:szCs w:val="21"/>
          <w:lang w:val="en-US" w:eastAsia="zh-CN"/>
        </w:rPr>
        <w:t>本月服务</w:t>
      </w:r>
      <w:r>
        <w:rPr>
          <w:rFonts w:asciiTheme="minorEastAsia" w:hAnsiTheme="minorEastAsia"/>
          <w:color w:val="auto"/>
          <w:szCs w:val="21"/>
        </w:rPr>
        <w:t>款</w:t>
      </w:r>
      <w:r>
        <w:rPr>
          <w:rFonts w:hint="eastAsia" w:asciiTheme="minorEastAsia" w:hAnsiTheme="minorEastAsia"/>
          <w:color w:val="auto"/>
          <w:szCs w:val="21"/>
        </w:rPr>
        <w:t>并</w:t>
      </w:r>
      <w:r>
        <w:rPr>
          <w:rFonts w:hint="eastAsia" w:asciiTheme="minorEastAsia" w:hAnsiTheme="minorEastAsia"/>
          <w:color w:val="auto"/>
          <w:szCs w:val="21"/>
          <w:lang w:val="en-US" w:eastAsia="zh-CN"/>
        </w:rPr>
        <w:t>向甲方支付本月支付金额的30%作为违约金。如因乙方操作不当，导致所清洗的布草出行损坏、该违约金不足以弥补甲方损失的，乙方还应</w:t>
      </w:r>
      <w:r>
        <w:rPr>
          <w:rFonts w:asciiTheme="minorEastAsia" w:hAnsiTheme="minorEastAsia"/>
          <w:color w:val="auto"/>
          <w:szCs w:val="21"/>
        </w:rPr>
        <w:t>赔偿甲方因此遭受的损失。</w:t>
      </w:r>
    </w:p>
    <w:p w14:paraId="44BA3FBD">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Theme="minorEastAsia" w:hAnsiTheme="minorEastAsia"/>
          <w:color w:val="auto"/>
          <w:szCs w:val="21"/>
        </w:rPr>
      </w:pPr>
      <w:r>
        <w:rPr>
          <w:rFonts w:hint="eastAsia" w:asciiTheme="minorEastAsia" w:hAnsiTheme="minorEastAsia"/>
          <w:color w:val="auto"/>
          <w:szCs w:val="21"/>
          <w:lang w:val="en-US" w:eastAsia="zh-CN"/>
        </w:rPr>
        <w:t>8</w:t>
      </w:r>
      <w:r>
        <w:rPr>
          <w:rFonts w:asciiTheme="minorEastAsia" w:hAnsiTheme="minorEastAsia"/>
          <w:color w:val="auto"/>
          <w:szCs w:val="21"/>
        </w:rPr>
        <w:t>.</w:t>
      </w:r>
      <w:r>
        <w:rPr>
          <w:rFonts w:hint="eastAsia" w:asciiTheme="minorEastAsia" w:hAnsiTheme="minorEastAsia"/>
          <w:color w:val="auto"/>
          <w:szCs w:val="21"/>
          <w:lang w:val="en-US" w:eastAsia="zh-CN"/>
        </w:rPr>
        <w:t>4</w:t>
      </w:r>
      <w:r>
        <w:rPr>
          <w:rFonts w:asciiTheme="minorEastAsia" w:hAnsiTheme="minorEastAsia"/>
          <w:color w:val="auto"/>
          <w:szCs w:val="21"/>
        </w:rPr>
        <w:t>乙方未履行本合同项下的其他义务或违反其在投标文件中的相关承诺的，应按合同</w:t>
      </w:r>
      <w:r>
        <w:rPr>
          <w:rFonts w:hint="eastAsia" w:asciiTheme="minorEastAsia" w:hAnsiTheme="minorEastAsia"/>
          <w:color w:val="auto"/>
          <w:szCs w:val="21"/>
          <w:lang w:val="en-US" w:eastAsia="zh-CN"/>
        </w:rPr>
        <w:t>最高上限价</w:t>
      </w:r>
      <w:r>
        <w:rPr>
          <w:rFonts w:asciiTheme="minorEastAsia" w:hAnsiTheme="minorEastAsia"/>
          <w:color w:val="auto"/>
          <w:szCs w:val="21"/>
        </w:rPr>
        <w:t>的【</w:t>
      </w:r>
      <w:r>
        <w:rPr>
          <w:rFonts w:hint="eastAsia" w:asciiTheme="minorEastAsia" w:hAnsiTheme="minorEastAsia"/>
          <w:color w:val="auto"/>
          <w:szCs w:val="21"/>
          <w:lang w:val="en-US" w:eastAsia="zh-CN"/>
        </w:rPr>
        <w:t>10</w:t>
      </w:r>
      <w:r>
        <w:rPr>
          <w:rFonts w:asciiTheme="minorEastAsia" w:hAnsiTheme="minorEastAsia"/>
          <w:color w:val="auto"/>
          <w:szCs w:val="21"/>
        </w:rPr>
        <w:t>】%向甲方承担违约责任。</w:t>
      </w:r>
    </w:p>
    <w:p w14:paraId="2D500927">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Theme="minorEastAsia" w:hAnsiTheme="minorEastAsia"/>
          <w:color w:val="auto"/>
          <w:szCs w:val="21"/>
        </w:rPr>
      </w:pPr>
      <w:r>
        <w:rPr>
          <w:rFonts w:hint="eastAsia" w:asciiTheme="minorEastAsia" w:hAnsiTheme="minorEastAsia"/>
          <w:color w:val="auto"/>
          <w:szCs w:val="21"/>
          <w:lang w:val="en-US" w:eastAsia="zh-CN"/>
        </w:rPr>
        <w:t>8</w:t>
      </w:r>
      <w:r>
        <w:rPr>
          <w:rFonts w:asciiTheme="minorEastAsia" w:hAnsiTheme="minorEastAsia"/>
          <w:color w:val="auto"/>
          <w:szCs w:val="21"/>
        </w:rPr>
        <w:t>.</w:t>
      </w:r>
      <w:r>
        <w:rPr>
          <w:rFonts w:hint="eastAsia" w:asciiTheme="minorEastAsia" w:hAnsiTheme="minorEastAsia"/>
          <w:color w:val="auto"/>
          <w:szCs w:val="21"/>
          <w:lang w:val="en-US" w:eastAsia="zh-CN"/>
        </w:rPr>
        <w:t>5</w:t>
      </w:r>
      <w:r>
        <w:rPr>
          <w:rFonts w:asciiTheme="minorEastAsia" w:hAnsiTheme="minorEastAsia"/>
          <w:color w:val="auto"/>
          <w:szCs w:val="21"/>
        </w:rPr>
        <w:t>乙方在承担上述一项或多项违约责任后，仍应继续履行合同规定的义务（甲方解除合同的除外）。甲方未能及时追究乙方的任何一项违约责任并不表明甲方放弃追究乙方该项或其他违约责任。</w:t>
      </w:r>
    </w:p>
    <w:p w14:paraId="1727A7E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9</w:t>
      </w:r>
      <w:r>
        <w:rPr>
          <w:rFonts w:hint="eastAsia" w:ascii="宋体" w:hAnsi="宋体" w:eastAsia="宋体" w:cs="宋体"/>
          <w:b/>
          <w:bCs/>
          <w:color w:val="auto"/>
          <w:kern w:val="2"/>
          <w:sz w:val="21"/>
          <w:szCs w:val="21"/>
          <w:lang w:val="en-US" w:eastAsia="zh-CN" w:bidi="ar-SA"/>
        </w:rPr>
        <w:t>.合同的变更、解除或终止</w:t>
      </w:r>
    </w:p>
    <w:p w14:paraId="438C794F">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Theme="minorEastAsia" w:hAnsiTheme="minorEastAsia"/>
          <w:color w:val="auto"/>
          <w:szCs w:val="21"/>
        </w:rPr>
      </w:pPr>
      <w:r>
        <w:rPr>
          <w:rFonts w:hint="eastAsia" w:asciiTheme="minorEastAsia" w:hAnsiTheme="minorEastAsia"/>
          <w:color w:val="auto"/>
          <w:szCs w:val="21"/>
          <w:lang w:val="en-US" w:eastAsia="zh-CN"/>
        </w:rPr>
        <w:t>9</w:t>
      </w:r>
      <w:r>
        <w:rPr>
          <w:rFonts w:asciiTheme="minorEastAsia" w:hAnsiTheme="minorEastAsia"/>
          <w:color w:val="auto"/>
          <w:szCs w:val="21"/>
        </w:rPr>
        <w:t>.1在合同履行中，甲方需追加与合同标的项目的货物、工程或者服务的，应按照《深圳经济特区政府采购条例》第四十条、第四十八条规定办理相关手续。</w:t>
      </w:r>
    </w:p>
    <w:p w14:paraId="56E2EA81">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Theme="minorEastAsia" w:hAnsiTheme="minorEastAsia"/>
          <w:color w:val="auto"/>
          <w:szCs w:val="21"/>
        </w:rPr>
      </w:pPr>
      <w:r>
        <w:rPr>
          <w:rFonts w:hint="eastAsia" w:asciiTheme="minorEastAsia" w:hAnsiTheme="minorEastAsia"/>
          <w:color w:val="auto"/>
          <w:szCs w:val="21"/>
          <w:lang w:val="en-US" w:eastAsia="zh-CN"/>
        </w:rPr>
        <w:t>9</w:t>
      </w:r>
      <w:r>
        <w:rPr>
          <w:rFonts w:asciiTheme="minorEastAsia" w:hAnsiTheme="minorEastAsia"/>
          <w:color w:val="auto"/>
          <w:szCs w:val="21"/>
        </w:rPr>
        <w:t>.</w:t>
      </w:r>
      <w:r>
        <w:rPr>
          <w:rFonts w:hint="eastAsia" w:asciiTheme="minorEastAsia" w:hAnsiTheme="minorEastAsia"/>
          <w:color w:val="auto"/>
          <w:szCs w:val="21"/>
        </w:rPr>
        <w:t>2</w:t>
      </w:r>
      <w:r>
        <w:rPr>
          <w:rFonts w:asciiTheme="minorEastAsia" w:hAnsiTheme="minorEastAsia"/>
          <w:color w:val="auto"/>
          <w:szCs w:val="21"/>
        </w:rPr>
        <w:t>除《中华人民共和国政府采购法》第49条、第50条第二款规定的情形外，本合同一经签订，甲乙双方不得擅自变更、中止或终止合同。</w:t>
      </w:r>
    </w:p>
    <w:p w14:paraId="0B25DF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w:t>
      </w:r>
      <w:r>
        <w:rPr>
          <w:rFonts w:hint="eastAsia" w:ascii="宋体" w:hAnsi="宋体" w:cs="宋体"/>
          <w:b/>
          <w:bCs/>
          <w:color w:val="auto"/>
          <w:kern w:val="2"/>
          <w:sz w:val="21"/>
          <w:szCs w:val="21"/>
          <w:lang w:val="en-US" w:eastAsia="zh-CN" w:bidi="ar-SA"/>
        </w:rPr>
        <w:t>0</w:t>
      </w:r>
      <w:r>
        <w:rPr>
          <w:rFonts w:hint="eastAsia" w:ascii="宋体" w:hAnsi="宋体" w:eastAsia="宋体" w:cs="宋体"/>
          <w:b/>
          <w:bCs/>
          <w:color w:val="auto"/>
          <w:kern w:val="2"/>
          <w:sz w:val="21"/>
          <w:szCs w:val="21"/>
          <w:lang w:val="en-US" w:eastAsia="zh-CN" w:bidi="ar-SA"/>
        </w:rPr>
        <w:t>.争议的解决</w:t>
      </w:r>
    </w:p>
    <w:p w14:paraId="738A4DC5">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Theme="minorEastAsia" w:hAnsiTheme="minorEastAsia"/>
          <w:color w:val="auto"/>
          <w:szCs w:val="21"/>
        </w:rPr>
      </w:pPr>
      <w:r>
        <w:rPr>
          <w:rFonts w:asciiTheme="minorEastAsia" w:hAnsiTheme="minorEastAsia"/>
          <w:color w:val="auto"/>
          <w:szCs w:val="21"/>
        </w:rPr>
        <w:t>1</w:t>
      </w:r>
      <w:r>
        <w:rPr>
          <w:rFonts w:hint="eastAsia" w:asciiTheme="minorEastAsia" w:hAnsiTheme="minorEastAsia"/>
          <w:color w:val="auto"/>
          <w:szCs w:val="21"/>
          <w:lang w:val="en-US" w:eastAsia="zh-CN"/>
        </w:rPr>
        <w:t>0</w:t>
      </w:r>
      <w:r>
        <w:rPr>
          <w:rFonts w:asciiTheme="minorEastAsia" w:hAnsiTheme="minorEastAsia"/>
          <w:color w:val="auto"/>
          <w:szCs w:val="21"/>
        </w:rPr>
        <w:t>.1因</w:t>
      </w:r>
      <w:r>
        <w:rPr>
          <w:rFonts w:hint="eastAsia" w:asciiTheme="minorEastAsia" w:hAnsiTheme="minorEastAsia"/>
          <w:color w:val="auto"/>
          <w:szCs w:val="21"/>
          <w:lang w:val="en-US" w:eastAsia="zh-CN"/>
        </w:rPr>
        <w:t>布草洗涤</w:t>
      </w:r>
      <w:r>
        <w:rPr>
          <w:rFonts w:asciiTheme="minorEastAsia" w:hAnsiTheme="minorEastAsia"/>
          <w:color w:val="auto"/>
          <w:szCs w:val="21"/>
        </w:rPr>
        <w:t>的质量问题发生争议的，</w:t>
      </w:r>
      <w:r>
        <w:rPr>
          <w:rFonts w:hint="eastAsia" w:cs="Times New Roman" w:asciiTheme="minorEastAsia" w:hAnsiTheme="minorEastAsia"/>
          <w:color w:val="auto"/>
          <w:szCs w:val="21"/>
          <w:lang w:val="en-US" w:eastAsia="zh-CN"/>
        </w:rPr>
        <w:t>甲方有权委托</w:t>
      </w:r>
      <w:r>
        <w:rPr>
          <w:rFonts w:cs="Times New Roman" w:asciiTheme="minorEastAsia" w:hAnsiTheme="minorEastAsia"/>
          <w:color w:val="auto"/>
          <w:szCs w:val="21"/>
        </w:rPr>
        <w:t>国</w:t>
      </w:r>
      <w:r>
        <w:rPr>
          <w:rFonts w:asciiTheme="minorEastAsia" w:hAnsiTheme="minorEastAsia"/>
          <w:color w:val="auto"/>
          <w:szCs w:val="21"/>
        </w:rPr>
        <w:t>家认可的质量检测机构对</w:t>
      </w:r>
      <w:r>
        <w:rPr>
          <w:rFonts w:hint="eastAsia" w:asciiTheme="minorEastAsia" w:hAnsiTheme="minorEastAsia"/>
          <w:color w:val="auto"/>
          <w:szCs w:val="21"/>
          <w:lang w:val="en-US" w:eastAsia="zh-CN"/>
        </w:rPr>
        <w:t>洗涤的布草</w:t>
      </w:r>
      <w:r>
        <w:rPr>
          <w:rFonts w:asciiTheme="minorEastAsia" w:hAnsiTheme="minorEastAsia"/>
          <w:color w:val="auto"/>
          <w:szCs w:val="21"/>
        </w:rPr>
        <w:t>进行鉴定。符合标准的，鉴定费由甲方承担；货物不符合质量标准的，鉴定费由乙方承担。</w:t>
      </w:r>
    </w:p>
    <w:p w14:paraId="273947CC">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pPr>
      <w:r>
        <w:rPr>
          <w:rFonts w:hint="eastAsia" w:asciiTheme="minorEastAsia" w:hAnsiTheme="minorEastAsia"/>
          <w:color w:val="auto"/>
          <w:szCs w:val="21"/>
          <w:lang w:val="en-US" w:eastAsia="zh-CN"/>
        </w:rPr>
        <w:t>10</w:t>
      </w:r>
      <w:r>
        <w:rPr>
          <w:rFonts w:asciiTheme="minorEastAsia" w:hAnsiTheme="minorEastAsia"/>
          <w:color w:val="auto"/>
          <w:szCs w:val="21"/>
        </w:rPr>
        <w:t>.2因履行本合同引起的或与本合同有关的争议，甲、乙双方应首先通过友好协商解决，如果协商不能解决争议，则向甲方所在地有管辖权的人民法院提起诉讼。</w:t>
      </w:r>
    </w:p>
    <w:p w14:paraId="6E677CD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w:t>
      </w:r>
      <w:r>
        <w:rPr>
          <w:rFonts w:hint="eastAsia" w:ascii="宋体" w:hAnsi="宋体" w:cs="宋体"/>
          <w:b/>
          <w:bCs/>
          <w:color w:val="auto"/>
          <w:kern w:val="2"/>
          <w:sz w:val="21"/>
          <w:szCs w:val="21"/>
          <w:lang w:val="en-US" w:eastAsia="zh-CN" w:bidi="ar-SA"/>
        </w:rPr>
        <w:t>1</w:t>
      </w:r>
      <w:r>
        <w:rPr>
          <w:rFonts w:hint="eastAsia" w:ascii="宋体" w:hAnsi="宋体" w:eastAsia="宋体" w:cs="宋体"/>
          <w:b/>
          <w:bCs/>
          <w:color w:val="auto"/>
          <w:kern w:val="2"/>
          <w:sz w:val="21"/>
          <w:szCs w:val="21"/>
          <w:lang w:val="en-US" w:eastAsia="zh-CN" w:bidi="ar-SA"/>
        </w:rPr>
        <w:t>.</w:t>
      </w:r>
      <w:r>
        <w:rPr>
          <w:rFonts w:hint="eastAsia" w:ascii="宋体" w:hAnsi="宋体" w:cs="宋体"/>
          <w:b/>
          <w:bCs/>
          <w:color w:val="auto"/>
          <w:kern w:val="2"/>
          <w:sz w:val="21"/>
          <w:szCs w:val="21"/>
          <w:lang w:val="en-US" w:eastAsia="zh-CN" w:bidi="ar-SA"/>
        </w:rPr>
        <w:t>服务期限</w:t>
      </w:r>
    </w:p>
    <w:p w14:paraId="6280ABF0">
      <w:pPr>
        <w:spacing w:line="360" w:lineRule="auto"/>
        <w:ind w:firstLine="420" w:firstLineChars="200"/>
        <w:rPr>
          <w:rFonts w:hint="eastAsia" w:ascii="宋体" w:hAnsi="宋体" w:cs="宋体"/>
          <w:szCs w:val="21"/>
        </w:rPr>
      </w:pPr>
      <w:r>
        <w:rPr>
          <w:rFonts w:hint="eastAsia" w:ascii="宋体" w:hAnsi="宋体" w:cs="宋体"/>
          <w:szCs w:val="21"/>
        </w:rPr>
        <w:t>自合同签订之日起一年。本项目为长期服务项目，合同期满可以续签，但合同履行期限最长不得超过三十六个月，如采购人对履约情况不满意，采购人不再续约。</w:t>
      </w:r>
    </w:p>
    <w:p w14:paraId="18969A90">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default"/>
          <w:lang w:val="en-US" w:eastAsia="zh-CN"/>
        </w:rPr>
      </w:pPr>
      <w:r>
        <w:rPr>
          <w:rFonts w:hint="eastAsia" w:ascii="宋体" w:hAnsi="宋体" w:cs="宋体"/>
          <w:b/>
          <w:bCs/>
          <w:color w:val="auto"/>
          <w:kern w:val="2"/>
          <w:sz w:val="21"/>
          <w:szCs w:val="21"/>
          <w:lang w:val="en-US" w:eastAsia="zh-CN" w:bidi="ar-SA"/>
        </w:rPr>
        <w:t>收款账户信息</w:t>
      </w:r>
    </w:p>
    <w:p w14:paraId="35AA19D2">
      <w:pPr>
        <w:pStyle w:val="2"/>
        <w:rPr>
          <w:rFonts w:hint="default"/>
          <w:lang w:val="en-US" w:eastAsia="zh-CN"/>
        </w:rPr>
      </w:pPr>
    </w:p>
    <w:p w14:paraId="450BA542">
      <w:pPr>
        <w:rPr>
          <w:rFonts w:hint="default"/>
          <w:lang w:val="en-US" w:eastAsia="zh-CN"/>
        </w:rPr>
      </w:pPr>
    </w:p>
    <w:p w14:paraId="28B5CED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w:t>
      </w:r>
      <w:r>
        <w:rPr>
          <w:rFonts w:hint="eastAsia" w:ascii="宋体" w:hAnsi="宋体" w:cs="宋体"/>
          <w:b/>
          <w:bCs/>
          <w:color w:val="auto"/>
          <w:kern w:val="2"/>
          <w:sz w:val="21"/>
          <w:szCs w:val="21"/>
          <w:lang w:val="en-US" w:eastAsia="zh-CN" w:bidi="ar-SA"/>
        </w:rPr>
        <w:t>3</w:t>
      </w:r>
      <w:r>
        <w:rPr>
          <w:rFonts w:hint="eastAsia" w:ascii="宋体" w:hAnsi="宋体" w:eastAsia="宋体" w:cs="宋体"/>
          <w:b/>
          <w:bCs/>
          <w:color w:val="auto"/>
          <w:kern w:val="2"/>
          <w:sz w:val="21"/>
          <w:szCs w:val="21"/>
          <w:lang w:val="en-US" w:eastAsia="zh-CN" w:bidi="ar-SA"/>
        </w:rPr>
        <w:t>.合同生效及其他</w:t>
      </w:r>
    </w:p>
    <w:p w14:paraId="10B79B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color w:val="auto"/>
          <w:szCs w:val="21"/>
        </w:rPr>
      </w:pPr>
      <w:r>
        <w:rPr>
          <w:rFonts w:asciiTheme="minorEastAsia" w:hAnsiTheme="minorEastAsia"/>
          <w:color w:val="auto"/>
          <w:szCs w:val="21"/>
        </w:rPr>
        <w:t>1</w:t>
      </w:r>
      <w:r>
        <w:rPr>
          <w:rFonts w:hint="eastAsia" w:asciiTheme="minorEastAsia" w:hAnsiTheme="minorEastAsia"/>
          <w:color w:val="auto"/>
          <w:szCs w:val="21"/>
          <w:lang w:val="en-US" w:eastAsia="zh-CN"/>
        </w:rPr>
        <w:t>3</w:t>
      </w:r>
      <w:r>
        <w:rPr>
          <w:rFonts w:asciiTheme="minorEastAsia" w:hAnsiTheme="minorEastAsia"/>
          <w:color w:val="auto"/>
          <w:szCs w:val="21"/>
        </w:rPr>
        <w:t>.1下列文件均为本合同的组成部分：</w:t>
      </w:r>
    </w:p>
    <w:p w14:paraId="3A7C71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color w:val="auto"/>
          <w:szCs w:val="21"/>
        </w:rPr>
      </w:pPr>
      <w:r>
        <w:rPr>
          <w:rFonts w:hint="eastAsia" w:asciiTheme="minorEastAsia" w:hAnsiTheme="minorEastAsia"/>
          <w:color w:val="auto"/>
          <w:szCs w:val="21"/>
        </w:rPr>
        <w:t>（</w:t>
      </w:r>
      <w:r>
        <w:rPr>
          <w:rFonts w:asciiTheme="minorEastAsia" w:hAnsiTheme="minorEastAsia"/>
          <w:color w:val="auto"/>
          <w:szCs w:val="21"/>
        </w:rPr>
        <w:t>1）</w:t>
      </w:r>
      <w:r>
        <w:rPr>
          <w:rFonts w:hint="eastAsia" w:asciiTheme="minorEastAsia" w:hAnsiTheme="minorEastAsia"/>
          <w:color w:val="auto"/>
          <w:szCs w:val="21"/>
        </w:rPr>
        <w:t>招标文件、答疑及补充通知；</w:t>
      </w:r>
    </w:p>
    <w:p w14:paraId="1C7037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color w:val="auto"/>
          <w:szCs w:val="21"/>
        </w:rPr>
      </w:pPr>
      <w:r>
        <w:rPr>
          <w:rFonts w:hint="eastAsia" w:asciiTheme="minorEastAsia" w:hAnsiTheme="minorEastAsia"/>
          <w:color w:val="auto"/>
          <w:szCs w:val="21"/>
        </w:rPr>
        <w:t>（</w:t>
      </w:r>
      <w:r>
        <w:rPr>
          <w:rFonts w:asciiTheme="minorEastAsia" w:hAnsiTheme="minorEastAsia"/>
          <w:color w:val="auto"/>
          <w:szCs w:val="21"/>
        </w:rPr>
        <w:t>2）乙方的投标文件；</w:t>
      </w:r>
    </w:p>
    <w:p w14:paraId="039ED6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lang w:val="en-US" w:eastAsia="zh-CN"/>
        </w:rPr>
        <w:t>中标通知书</w:t>
      </w:r>
    </w:p>
    <w:p w14:paraId="689E86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color w:val="auto"/>
          <w:szCs w:val="21"/>
        </w:rPr>
      </w:pPr>
      <w:r>
        <w:rPr>
          <w:rFonts w:hint="eastAsia" w:asciiTheme="minorEastAsia" w:hAnsiTheme="minorEastAsia"/>
          <w:color w:val="auto"/>
          <w:szCs w:val="21"/>
          <w:lang w:eastAsia="zh-CN"/>
        </w:rPr>
        <w:t>（</w:t>
      </w:r>
      <w:r>
        <w:rPr>
          <w:rFonts w:hint="eastAsia" w:asciiTheme="minorEastAsia" w:hAnsiTheme="minorEastAsia"/>
          <w:color w:val="auto"/>
          <w:szCs w:val="21"/>
          <w:lang w:val="en-US" w:eastAsia="zh-CN"/>
        </w:rPr>
        <w:t>4</w:t>
      </w:r>
      <w:r>
        <w:rPr>
          <w:rFonts w:hint="eastAsia" w:asciiTheme="minorEastAsia" w:hAnsiTheme="minorEastAsia"/>
          <w:color w:val="auto"/>
          <w:szCs w:val="21"/>
          <w:lang w:eastAsia="zh-CN"/>
        </w:rPr>
        <w:t>）</w:t>
      </w:r>
      <w:r>
        <w:rPr>
          <w:rFonts w:asciiTheme="minorEastAsia" w:hAnsiTheme="minorEastAsia"/>
          <w:color w:val="auto"/>
          <w:szCs w:val="21"/>
        </w:rPr>
        <w:t>本合同执行中甲乙双方共同签署的补充与修正文件。</w:t>
      </w:r>
    </w:p>
    <w:p w14:paraId="69C7C1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color w:val="auto"/>
          <w:szCs w:val="21"/>
        </w:rPr>
      </w:pPr>
      <w:r>
        <w:rPr>
          <w:rFonts w:asciiTheme="minorEastAsia" w:hAnsiTheme="minorEastAsia"/>
          <w:color w:val="auto"/>
          <w:szCs w:val="21"/>
        </w:rPr>
        <w:t>1</w:t>
      </w:r>
      <w:r>
        <w:rPr>
          <w:rFonts w:hint="eastAsia" w:asciiTheme="minorEastAsia" w:hAnsiTheme="minorEastAsia"/>
          <w:color w:val="auto"/>
          <w:szCs w:val="21"/>
          <w:lang w:val="en-US" w:eastAsia="zh-CN"/>
        </w:rPr>
        <w:t>3.</w:t>
      </w:r>
      <w:r>
        <w:rPr>
          <w:rFonts w:asciiTheme="minorEastAsia" w:hAnsiTheme="minorEastAsia"/>
          <w:color w:val="auto"/>
          <w:szCs w:val="21"/>
        </w:rPr>
        <w:t>2本合同一式</w:t>
      </w:r>
      <w:r>
        <w:rPr>
          <w:rFonts w:hint="eastAsia" w:asciiTheme="minorEastAsia" w:hAnsiTheme="minorEastAsia"/>
          <w:color w:val="auto"/>
          <w:szCs w:val="21"/>
          <w:u w:val="single"/>
          <w:lang w:val="en-US" w:eastAsia="zh-CN"/>
        </w:rPr>
        <w:t xml:space="preserve"> 肆 </w:t>
      </w:r>
      <w:r>
        <w:rPr>
          <w:rFonts w:hint="eastAsia" w:asciiTheme="minorEastAsia" w:hAnsiTheme="minorEastAsia"/>
          <w:color w:val="auto"/>
          <w:szCs w:val="21"/>
        </w:rPr>
        <w:t>份，甲、乙方双方各执</w:t>
      </w:r>
      <w:r>
        <w:rPr>
          <w:rFonts w:hint="eastAsia" w:asciiTheme="minorEastAsia" w:hAnsiTheme="minorEastAsia"/>
          <w:color w:val="auto"/>
          <w:szCs w:val="21"/>
          <w:u w:val="single"/>
          <w:lang w:val="en-US" w:eastAsia="zh-CN"/>
        </w:rPr>
        <w:t xml:space="preserve"> 贰 </w:t>
      </w:r>
      <w:r>
        <w:rPr>
          <w:rFonts w:hint="eastAsia" w:asciiTheme="minorEastAsia" w:hAnsiTheme="minorEastAsia"/>
          <w:color w:val="auto"/>
          <w:szCs w:val="21"/>
        </w:rPr>
        <w:t>份，具有同等法律效力。本合同自双方签字并盖章之日起生效。</w:t>
      </w:r>
    </w:p>
    <w:p w14:paraId="195C61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color w:val="auto"/>
          <w:szCs w:val="21"/>
        </w:rPr>
      </w:pPr>
      <w:r>
        <w:rPr>
          <w:rFonts w:asciiTheme="minorEastAsia" w:hAnsiTheme="minorEastAsia"/>
          <w:color w:val="auto"/>
          <w:szCs w:val="21"/>
        </w:rPr>
        <w:t>1</w:t>
      </w:r>
      <w:r>
        <w:rPr>
          <w:rFonts w:hint="eastAsia" w:asciiTheme="minorEastAsia" w:hAnsiTheme="minorEastAsia"/>
          <w:color w:val="auto"/>
          <w:szCs w:val="21"/>
          <w:lang w:val="en-US" w:eastAsia="zh-CN"/>
        </w:rPr>
        <w:t>3.</w:t>
      </w:r>
      <w:r>
        <w:rPr>
          <w:rFonts w:hint="eastAsia" w:asciiTheme="minorEastAsia" w:hAnsiTheme="minorEastAsia"/>
          <w:color w:val="auto"/>
          <w:szCs w:val="21"/>
        </w:rPr>
        <w:t>3</w:t>
      </w:r>
      <w:r>
        <w:rPr>
          <w:rFonts w:hint="eastAsia" w:ascii="宋体" w:hAnsi="宋体"/>
          <w:color w:val="auto"/>
          <w:szCs w:val="21"/>
        </w:rPr>
        <w:t>本合同未尽事宜，双方友好协商，达成解决方案，经双方签字后，可作为本合同的有效附件。</w:t>
      </w:r>
    </w:p>
    <w:p w14:paraId="35D30899">
      <w:pPr>
        <w:pStyle w:val="13"/>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hAnsi="宋体" w:eastAsiaTheme="minorEastAsia"/>
          <w:color w:val="auto"/>
          <w:szCs w:val="21"/>
          <w:lang w:val="en-US" w:eastAsia="zh-CN"/>
        </w:rPr>
      </w:pPr>
      <w:r>
        <w:rPr>
          <w:rFonts w:hint="eastAsia" w:hAnsi="宋体"/>
          <w:color w:val="auto"/>
          <w:szCs w:val="21"/>
          <w:lang w:val="en-US" w:eastAsia="zh-CN"/>
        </w:rPr>
        <w:t>（以下无正文）</w:t>
      </w:r>
    </w:p>
    <w:p w14:paraId="79FA43CE">
      <w:pPr>
        <w:pStyle w:val="13"/>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Ansi="宋体"/>
          <w:color w:val="auto"/>
          <w:szCs w:val="21"/>
        </w:rPr>
      </w:pPr>
      <w:r>
        <w:rPr>
          <w:rFonts w:hint="eastAsia" w:hAnsi="宋体"/>
          <w:color w:val="auto"/>
          <w:szCs w:val="21"/>
        </w:rPr>
        <w:t>附件：</w:t>
      </w:r>
    </w:p>
    <w:p w14:paraId="6B2F3F0A">
      <w:pPr>
        <w:keepNext w:val="0"/>
        <w:keepLines w:val="0"/>
        <w:pageBreakBefore w:val="0"/>
        <w:widowControl w:val="0"/>
        <w:kinsoku/>
        <w:wordWrap/>
        <w:overflowPunct/>
        <w:topLinePunct w:val="0"/>
        <w:bidi w:val="0"/>
        <w:adjustRightInd/>
        <w:snapToGrid/>
        <w:spacing w:line="48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1、《中标通知书》</w:t>
      </w:r>
    </w:p>
    <w:p w14:paraId="6C205F26">
      <w:pPr>
        <w:keepNext w:val="0"/>
        <w:keepLines w:val="0"/>
        <w:pageBreakBefore w:val="0"/>
        <w:widowControl w:val="0"/>
        <w:kinsoku/>
        <w:wordWrap/>
        <w:overflowPunct/>
        <w:topLinePunct w:val="0"/>
        <w:bidi w:val="0"/>
        <w:adjustRightInd/>
        <w:snapToGrid/>
        <w:spacing w:line="480" w:lineRule="auto"/>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甲方（盖公章）：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乙方（盖公章）：</w:t>
      </w:r>
    </w:p>
    <w:p w14:paraId="3B0CB3AC">
      <w:pPr>
        <w:keepNext w:val="0"/>
        <w:keepLines w:val="0"/>
        <w:pageBreakBefore w:val="0"/>
        <w:widowControl w:val="0"/>
        <w:kinsoku/>
        <w:wordWrap/>
        <w:overflowPunct/>
        <w:topLinePunct w:val="0"/>
        <w:bidi w:val="0"/>
        <w:adjustRightInd/>
        <w:snapToGrid/>
        <w:spacing w:line="480" w:lineRule="auto"/>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法定代表人（签字或盖私章）：                 法定代表人（签字或盖私章）： </w:t>
      </w:r>
    </w:p>
    <w:p w14:paraId="5156596E">
      <w:pPr>
        <w:keepNext w:val="0"/>
        <w:keepLines w:val="0"/>
        <w:pageBreakBefore w:val="0"/>
        <w:widowControl w:val="0"/>
        <w:kinsoku/>
        <w:wordWrap/>
        <w:overflowPunct/>
        <w:topLinePunct w:val="0"/>
        <w:bidi w:val="0"/>
        <w:adjustRightInd/>
        <w:snapToGrid/>
        <w:spacing w:line="480" w:lineRule="auto"/>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委托代理人：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委托代理人：</w:t>
      </w:r>
    </w:p>
    <w:p w14:paraId="40BE4FBA">
      <w:pPr>
        <w:keepNext w:val="0"/>
        <w:keepLines w:val="0"/>
        <w:pageBreakBefore w:val="0"/>
        <w:widowControl w:val="0"/>
        <w:kinsoku/>
        <w:wordWrap/>
        <w:overflowPunct/>
        <w:topLinePunct w:val="0"/>
        <w:bidi w:val="0"/>
        <w:adjustRightInd/>
        <w:snapToGrid/>
        <w:spacing w:after="0" w:line="480" w:lineRule="auto"/>
        <w:ind w:firstLine="420" w:firstLineChars="200"/>
        <w:jc w:val="left"/>
        <w:textAlignment w:val="auto"/>
        <w:rPr>
          <w:rStyle w:val="23"/>
          <w:rFonts w:hint="eastAsia"/>
          <w:color w:val="auto"/>
          <w:lang w:val="en-US" w:eastAsia="zh-CN"/>
        </w:rPr>
      </w:pPr>
      <w:r>
        <w:rPr>
          <w:rFonts w:hint="eastAsia" w:ascii="宋体" w:hAnsi="宋体" w:eastAsia="宋体" w:cs="宋体"/>
          <w:color w:val="auto"/>
          <w:sz w:val="21"/>
          <w:szCs w:val="21"/>
        </w:rPr>
        <w:t>日期：</w:t>
      </w:r>
      <w:r>
        <w:rPr>
          <w:rFonts w:hint="eastAsia" w:ascii="宋体" w:hAnsi="宋体" w:eastAsia="宋体" w:cs="宋体"/>
          <w:color w:val="auto"/>
          <w:sz w:val="21"/>
          <w:szCs w:val="21"/>
          <w:lang w:val="en-US" w:eastAsia="zh-CN"/>
        </w:rPr>
        <w:t>2024</w:t>
      </w:r>
      <w:r>
        <w:rPr>
          <w:rFonts w:hint="eastAsia" w:ascii="宋体" w:hAnsi="宋体" w:eastAsia="宋体" w:cs="宋体"/>
          <w:color w:val="auto"/>
          <w:sz w:val="21"/>
          <w:szCs w:val="21"/>
        </w:rPr>
        <w:t xml:space="preserve"> 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月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日                    日期：</w:t>
      </w:r>
      <w:r>
        <w:rPr>
          <w:rFonts w:hint="eastAsia" w:ascii="宋体" w:hAnsi="宋体" w:eastAsia="宋体" w:cs="宋体"/>
          <w:color w:val="auto"/>
          <w:sz w:val="21"/>
          <w:szCs w:val="21"/>
          <w:lang w:val="en-US" w:eastAsia="zh-CN"/>
        </w:rPr>
        <w:t>2024</w:t>
      </w:r>
      <w:r>
        <w:rPr>
          <w:rFonts w:hint="eastAsia" w:ascii="宋体" w:hAnsi="宋体" w:eastAsia="宋体" w:cs="宋体"/>
          <w:color w:val="auto"/>
          <w:sz w:val="21"/>
          <w:szCs w:val="21"/>
        </w:rPr>
        <w:t xml:space="preserve"> 年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日</w:t>
      </w:r>
    </w:p>
    <w:p w14:paraId="5C8A5F56">
      <w:pPr>
        <w:pStyle w:val="49"/>
        <w:numPr>
          <w:ilvl w:val="0"/>
          <w:numId w:val="0"/>
        </w:numPr>
        <w:outlineLvl w:val="0"/>
        <w:rPr>
          <w:rFonts w:hint="eastAsia" w:ascii="宋体" w:hAnsi="宋体" w:cs="宋体"/>
          <w:b/>
          <w:bCs/>
          <w:sz w:val="21"/>
          <w:szCs w:val="21"/>
        </w:rPr>
      </w:pPr>
    </w:p>
    <w:p w14:paraId="15CCE32D">
      <w:pPr>
        <w:rPr>
          <w:rFonts w:ascii="宋体" w:hAnsi="宋体" w:cs="宋体"/>
          <w:szCs w:val="21"/>
        </w:rPr>
      </w:pPr>
    </w:p>
    <w:p w14:paraId="179DDE27">
      <w:pPr>
        <w:rPr>
          <w:rFonts w:ascii="宋体" w:hAnsi="宋体" w:cs="宋体"/>
          <w:szCs w:val="21"/>
        </w:rPr>
      </w:pPr>
    </w:p>
    <w:p w14:paraId="77930C8E">
      <w:pPr>
        <w:rPr>
          <w:rFonts w:ascii="宋体" w:hAnsi="宋体" w:cs="宋体"/>
          <w:szCs w:val="21"/>
        </w:rPr>
      </w:pPr>
    </w:p>
    <w:p w14:paraId="29130EAA">
      <w:pPr>
        <w:rPr>
          <w:rFonts w:ascii="宋体" w:hAnsi="宋体" w:cs="宋体"/>
          <w:szCs w:val="21"/>
        </w:rPr>
      </w:pPr>
    </w:p>
    <w:p w14:paraId="04D09D7E">
      <w:pPr>
        <w:rPr>
          <w:rFonts w:ascii="宋体" w:hAnsi="宋体" w:cs="宋体"/>
          <w:szCs w:val="21"/>
        </w:rPr>
      </w:pPr>
    </w:p>
    <w:p w14:paraId="5F4759FC">
      <w:pPr>
        <w:rPr>
          <w:rFonts w:ascii="宋体" w:hAnsi="宋体" w:cs="宋体"/>
          <w:szCs w:val="21"/>
        </w:rPr>
      </w:pPr>
    </w:p>
    <w:p w14:paraId="09682866">
      <w:pPr>
        <w:rPr>
          <w:rFonts w:ascii="宋体" w:hAnsi="宋体" w:cs="宋体"/>
          <w:szCs w:val="21"/>
        </w:rPr>
      </w:pPr>
    </w:p>
    <w:p w14:paraId="1F3FD91B">
      <w:pPr>
        <w:rPr>
          <w:rFonts w:ascii="宋体" w:hAnsi="宋体" w:cs="宋体"/>
          <w:szCs w:val="21"/>
        </w:rPr>
      </w:pPr>
    </w:p>
    <w:p w14:paraId="51D40A0C">
      <w:pPr>
        <w:rPr>
          <w:rFonts w:ascii="宋体" w:hAnsi="宋体" w:cs="宋体"/>
          <w:szCs w:val="21"/>
        </w:rPr>
      </w:pPr>
    </w:p>
    <w:p w14:paraId="78462C0A">
      <w:pPr>
        <w:widowControl/>
        <w:jc w:val="left"/>
        <w:rPr>
          <w:rFonts w:ascii="宋体" w:hAnsi="宋体" w:cs="宋体"/>
          <w:szCs w:val="21"/>
        </w:rPr>
      </w:pPr>
      <w:r>
        <w:rPr>
          <w:rFonts w:hint="eastAsia" w:ascii="宋体" w:hAnsi="宋体" w:cs="宋体"/>
          <w:szCs w:val="21"/>
        </w:rPr>
        <w:br w:type="page"/>
      </w:r>
    </w:p>
    <w:p w14:paraId="3EE41E2B">
      <w:pPr>
        <w:snapToGrid w:val="0"/>
        <w:spacing w:line="360" w:lineRule="auto"/>
        <w:jc w:val="left"/>
        <w:rPr>
          <w:rFonts w:ascii="宋体" w:hAnsi="宋体" w:cs="宋体"/>
          <w:bCs/>
          <w:szCs w:val="21"/>
        </w:rPr>
      </w:pPr>
      <w:r>
        <w:rPr>
          <w:rFonts w:hint="eastAsia" w:ascii="宋体" w:hAnsi="宋体" w:cs="宋体"/>
          <w:bCs/>
          <w:szCs w:val="21"/>
        </w:rPr>
        <w:t>附件1</w:t>
      </w:r>
    </w:p>
    <w:p w14:paraId="145141E8">
      <w:pPr>
        <w:snapToGrid w:val="0"/>
        <w:spacing w:line="360" w:lineRule="auto"/>
        <w:jc w:val="left"/>
        <w:rPr>
          <w:rFonts w:ascii="宋体" w:hAnsi="宋体" w:cs="宋体"/>
          <w:bCs/>
          <w:szCs w:val="21"/>
        </w:rPr>
      </w:pPr>
    </w:p>
    <w:p w14:paraId="53818AB6">
      <w:pPr>
        <w:snapToGrid w:val="0"/>
        <w:spacing w:line="560" w:lineRule="exact"/>
        <w:jc w:val="center"/>
        <w:rPr>
          <w:rFonts w:ascii="宋体" w:hAnsi="宋体" w:cs="宋体"/>
          <w:szCs w:val="21"/>
        </w:rPr>
      </w:pPr>
      <w:r>
        <w:rPr>
          <w:rFonts w:hint="eastAsia" w:ascii="宋体" w:hAnsi="宋体" w:cs="宋体"/>
          <w:b/>
          <w:bCs/>
          <w:sz w:val="36"/>
          <w:szCs w:val="36"/>
        </w:rPr>
        <w:t>布草洗涤服务异常情况登记表</w:t>
      </w:r>
    </w:p>
    <w:tbl>
      <w:tblPr>
        <w:tblStyle w:val="21"/>
        <w:tblW w:w="8845"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2044"/>
        <w:gridCol w:w="2562"/>
        <w:gridCol w:w="1983"/>
        <w:gridCol w:w="2256"/>
      </w:tblGrid>
      <w:tr w14:paraId="5D2D34B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2044" w:type="dxa"/>
            <w:tcBorders>
              <w:top w:val="single" w:color="auto" w:sz="8" w:space="0"/>
              <w:left w:val="single" w:color="auto" w:sz="8" w:space="0"/>
              <w:bottom w:val="single" w:color="auto" w:sz="6" w:space="0"/>
              <w:right w:val="single" w:color="auto" w:sz="6" w:space="0"/>
            </w:tcBorders>
            <w:noWrap/>
            <w:vAlign w:val="center"/>
          </w:tcPr>
          <w:p w14:paraId="35C5EEFC">
            <w:pPr>
              <w:snapToGrid w:val="0"/>
              <w:jc w:val="center"/>
              <w:rPr>
                <w:rFonts w:ascii="宋体" w:hAnsi="宋体" w:cs="宋体"/>
                <w:szCs w:val="21"/>
              </w:rPr>
            </w:pPr>
            <w:r>
              <w:rPr>
                <w:rFonts w:hint="eastAsia" w:ascii="宋体" w:hAnsi="宋体" w:cs="宋体"/>
                <w:szCs w:val="21"/>
              </w:rPr>
              <w:t>供应商名称</w:t>
            </w:r>
          </w:p>
        </w:tc>
        <w:tc>
          <w:tcPr>
            <w:tcW w:w="2562" w:type="dxa"/>
            <w:tcBorders>
              <w:top w:val="single" w:color="auto" w:sz="8" w:space="0"/>
              <w:left w:val="single" w:color="auto" w:sz="6" w:space="0"/>
              <w:bottom w:val="single" w:color="auto" w:sz="6" w:space="0"/>
              <w:right w:val="single" w:color="auto" w:sz="6" w:space="0"/>
            </w:tcBorders>
            <w:noWrap/>
            <w:vAlign w:val="center"/>
          </w:tcPr>
          <w:p w14:paraId="4552EA32">
            <w:pPr>
              <w:snapToGrid w:val="0"/>
              <w:jc w:val="center"/>
              <w:rPr>
                <w:rFonts w:ascii="宋体" w:hAnsi="宋体" w:cs="宋体"/>
                <w:szCs w:val="21"/>
              </w:rPr>
            </w:pPr>
          </w:p>
        </w:tc>
        <w:tc>
          <w:tcPr>
            <w:tcW w:w="1983" w:type="dxa"/>
            <w:tcBorders>
              <w:top w:val="single" w:color="auto" w:sz="8" w:space="0"/>
              <w:left w:val="single" w:color="auto" w:sz="6" w:space="0"/>
              <w:bottom w:val="single" w:color="auto" w:sz="6" w:space="0"/>
              <w:right w:val="single" w:color="auto" w:sz="6" w:space="0"/>
            </w:tcBorders>
            <w:noWrap/>
            <w:vAlign w:val="center"/>
          </w:tcPr>
          <w:p w14:paraId="78D6CD79">
            <w:pPr>
              <w:snapToGrid w:val="0"/>
              <w:jc w:val="center"/>
              <w:rPr>
                <w:rFonts w:ascii="宋体" w:hAnsi="宋体" w:cs="宋体"/>
                <w:szCs w:val="21"/>
              </w:rPr>
            </w:pPr>
            <w:r>
              <w:rPr>
                <w:rFonts w:hint="eastAsia" w:ascii="宋体" w:hAnsi="宋体" w:cs="宋体"/>
                <w:szCs w:val="21"/>
              </w:rPr>
              <w:t>联系人及电话</w:t>
            </w:r>
          </w:p>
        </w:tc>
        <w:tc>
          <w:tcPr>
            <w:tcW w:w="2256" w:type="dxa"/>
            <w:tcBorders>
              <w:top w:val="single" w:color="auto" w:sz="4" w:space="0"/>
              <w:left w:val="single" w:color="auto" w:sz="6" w:space="0"/>
              <w:bottom w:val="single" w:color="auto" w:sz="6" w:space="0"/>
              <w:right w:val="single" w:color="auto" w:sz="8" w:space="0"/>
            </w:tcBorders>
            <w:noWrap/>
            <w:vAlign w:val="center"/>
          </w:tcPr>
          <w:p w14:paraId="7894C150">
            <w:pPr>
              <w:snapToGrid w:val="0"/>
              <w:jc w:val="center"/>
              <w:rPr>
                <w:rFonts w:ascii="宋体" w:hAnsi="宋体" w:cs="宋体"/>
                <w:szCs w:val="21"/>
              </w:rPr>
            </w:pPr>
          </w:p>
        </w:tc>
      </w:tr>
      <w:tr w14:paraId="08CFB2D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2044" w:type="dxa"/>
            <w:tcBorders>
              <w:top w:val="single" w:color="auto" w:sz="6" w:space="0"/>
              <w:left w:val="single" w:color="auto" w:sz="8" w:space="0"/>
              <w:bottom w:val="single" w:color="auto" w:sz="6" w:space="0"/>
              <w:right w:val="single" w:color="auto" w:sz="6" w:space="0"/>
            </w:tcBorders>
            <w:noWrap/>
            <w:vAlign w:val="center"/>
          </w:tcPr>
          <w:p w14:paraId="3689CCAC">
            <w:pPr>
              <w:snapToGrid w:val="0"/>
              <w:jc w:val="center"/>
              <w:rPr>
                <w:rFonts w:ascii="宋体" w:hAnsi="宋体" w:cs="宋体"/>
                <w:szCs w:val="21"/>
              </w:rPr>
            </w:pPr>
            <w:r>
              <w:rPr>
                <w:rFonts w:hint="eastAsia" w:ascii="宋体" w:hAnsi="宋体" w:cs="宋体"/>
                <w:szCs w:val="21"/>
              </w:rPr>
              <w:t>送货地点</w:t>
            </w:r>
          </w:p>
        </w:tc>
        <w:tc>
          <w:tcPr>
            <w:tcW w:w="2562" w:type="dxa"/>
            <w:tcBorders>
              <w:top w:val="single" w:color="auto" w:sz="6" w:space="0"/>
              <w:left w:val="single" w:color="auto" w:sz="6" w:space="0"/>
              <w:bottom w:val="single" w:color="auto" w:sz="6" w:space="0"/>
              <w:right w:val="single" w:color="auto" w:sz="6" w:space="0"/>
            </w:tcBorders>
            <w:noWrap/>
            <w:vAlign w:val="center"/>
          </w:tcPr>
          <w:p w14:paraId="2DE94F7C">
            <w:pPr>
              <w:snapToGrid w:val="0"/>
              <w:jc w:val="center"/>
              <w:rPr>
                <w:rFonts w:ascii="宋体" w:hAnsi="宋体" w:cs="宋体"/>
                <w:szCs w:val="21"/>
              </w:rPr>
            </w:pPr>
          </w:p>
        </w:tc>
        <w:tc>
          <w:tcPr>
            <w:tcW w:w="1983" w:type="dxa"/>
            <w:tcBorders>
              <w:top w:val="single" w:color="auto" w:sz="6" w:space="0"/>
              <w:left w:val="single" w:color="auto" w:sz="6" w:space="0"/>
              <w:bottom w:val="single" w:color="auto" w:sz="6" w:space="0"/>
              <w:right w:val="single" w:color="auto" w:sz="6" w:space="0"/>
            </w:tcBorders>
            <w:noWrap/>
            <w:vAlign w:val="center"/>
          </w:tcPr>
          <w:p w14:paraId="43A42FA1">
            <w:pPr>
              <w:snapToGrid w:val="0"/>
              <w:jc w:val="center"/>
              <w:rPr>
                <w:rFonts w:ascii="宋体" w:hAnsi="宋体" w:cs="宋体"/>
                <w:szCs w:val="21"/>
              </w:rPr>
            </w:pPr>
            <w:r>
              <w:rPr>
                <w:rFonts w:hint="eastAsia" w:ascii="宋体" w:hAnsi="宋体" w:cs="宋体"/>
                <w:szCs w:val="21"/>
              </w:rPr>
              <w:t>送货时间</w:t>
            </w:r>
          </w:p>
        </w:tc>
        <w:tc>
          <w:tcPr>
            <w:tcW w:w="2256" w:type="dxa"/>
            <w:tcBorders>
              <w:top w:val="single" w:color="auto" w:sz="6" w:space="0"/>
              <w:left w:val="single" w:color="auto" w:sz="6" w:space="0"/>
              <w:bottom w:val="single" w:color="auto" w:sz="6" w:space="0"/>
              <w:right w:val="single" w:color="auto" w:sz="8" w:space="0"/>
            </w:tcBorders>
            <w:noWrap/>
            <w:vAlign w:val="center"/>
          </w:tcPr>
          <w:p w14:paraId="75954377">
            <w:pPr>
              <w:snapToGrid w:val="0"/>
              <w:jc w:val="right"/>
              <w:rPr>
                <w:rFonts w:ascii="宋体" w:hAnsi="宋体" w:cs="宋体"/>
                <w:szCs w:val="21"/>
              </w:rPr>
            </w:pPr>
            <w:r>
              <w:rPr>
                <w:rFonts w:hint="eastAsia" w:ascii="宋体" w:hAnsi="宋体" w:cs="宋体"/>
                <w:szCs w:val="21"/>
              </w:rPr>
              <w:t>年  月  日</w:t>
            </w:r>
          </w:p>
        </w:tc>
      </w:tr>
      <w:tr w14:paraId="523F367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2044" w:type="dxa"/>
            <w:tcBorders>
              <w:top w:val="single" w:color="auto" w:sz="6" w:space="0"/>
              <w:left w:val="single" w:color="auto" w:sz="8" w:space="0"/>
              <w:bottom w:val="single" w:color="auto" w:sz="6" w:space="0"/>
              <w:right w:val="single" w:color="auto" w:sz="6" w:space="0"/>
            </w:tcBorders>
            <w:noWrap/>
            <w:vAlign w:val="center"/>
          </w:tcPr>
          <w:p w14:paraId="49029559">
            <w:pPr>
              <w:snapToGrid w:val="0"/>
              <w:jc w:val="center"/>
              <w:rPr>
                <w:rFonts w:ascii="宋体" w:hAnsi="宋体" w:cs="宋体"/>
                <w:szCs w:val="21"/>
              </w:rPr>
            </w:pPr>
            <w:r>
              <w:rPr>
                <w:rFonts w:hint="eastAsia" w:ascii="宋体" w:hAnsi="宋体" w:cs="宋体"/>
                <w:szCs w:val="21"/>
              </w:rPr>
              <w:t>异常情况类别</w:t>
            </w:r>
          </w:p>
        </w:tc>
        <w:tc>
          <w:tcPr>
            <w:tcW w:w="6801" w:type="dxa"/>
            <w:gridSpan w:val="3"/>
            <w:tcBorders>
              <w:top w:val="single" w:color="auto" w:sz="6" w:space="0"/>
              <w:left w:val="single" w:color="auto" w:sz="6" w:space="0"/>
              <w:bottom w:val="single" w:color="auto" w:sz="6" w:space="0"/>
              <w:right w:val="single" w:color="auto" w:sz="8" w:space="0"/>
            </w:tcBorders>
            <w:noWrap/>
            <w:vAlign w:val="center"/>
          </w:tcPr>
          <w:p w14:paraId="59670686">
            <w:pPr>
              <w:snapToGrid w:val="0"/>
              <w:jc w:val="center"/>
              <w:rPr>
                <w:rFonts w:ascii="宋体" w:hAnsi="宋体" w:cs="宋体"/>
                <w:szCs w:val="21"/>
              </w:rPr>
            </w:pPr>
            <w:r>
              <w:rPr>
                <w:rFonts w:hint="eastAsia" w:ascii="宋体" w:hAnsi="宋体" w:cs="宋体"/>
                <w:szCs w:val="21"/>
              </w:rPr>
              <w:t>质量  时间  服务  价格  其他</w:t>
            </w:r>
          </w:p>
        </w:tc>
      </w:tr>
      <w:tr w14:paraId="1D05FDB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807" w:hRule="atLeast"/>
          <w:jc w:val="center"/>
        </w:trPr>
        <w:tc>
          <w:tcPr>
            <w:tcW w:w="2044" w:type="dxa"/>
            <w:tcBorders>
              <w:top w:val="single" w:color="auto" w:sz="6" w:space="0"/>
              <w:left w:val="single" w:color="auto" w:sz="8" w:space="0"/>
              <w:bottom w:val="single" w:color="auto" w:sz="6" w:space="0"/>
              <w:right w:val="single" w:color="auto" w:sz="6" w:space="0"/>
            </w:tcBorders>
            <w:noWrap/>
            <w:vAlign w:val="center"/>
          </w:tcPr>
          <w:p w14:paraId="374BFB60">
            <w:pPr>
              <w:snapToGrid w:val="0"/>
              <w:jc w:val="center"/>
              <w:rPr>
                <w:rFonts w:ascii="宋体" w:hAnsi="宋体" w:cs="宋体"/>
                <w:szCs w:val="21"/>
              </w:rPr>
            </w:pPr>
            <w:r>
              <w:rPr>
                <w:rFonts w:hint="eastAsia" w:ascii="宋体" w:hAnsi="宋体" w:cs="宋体"/>
                <w:szCs w:val="21"/>
              </w:rPr>
              <w:t>具体情况</w:t>
            </w:r>
          </w:p>
        </w:tc>
        <w:tc>
          <w:tcPr>
            <w:tcW w:w="6801" w:type="dxa"/>
            <w:gridSpan w:val="3"/>
            <w:tcBorders>
              <w:top w:val="single" w:color="auto" w:sz="6" w:space="0"/>
              <w:left w:val="single" w:color="auto" w:sz="6" w:space="0"/>
              <w:bottom w:val="single" w:color="auto" w:sz="6" w:space="0"/>
              <w:right w:val="single" w:color="auto" w:sz="8" w:space="0"/>
            </w:tcBorders>
            <w:noWrap/>
            <w:vAlign w:val="center"/>
          </w:tcPr>
          <w:p w14:paraId="0C069F7B">
            <w:pPr>
              <w:snapToGrid w:val="0"/>
              <w:jc w:val="center"/>
              <w:rPr>
                <w:rFonts w:ascii="宋体" w:hAnsi="宋体" w:cs="宋体"/>
                <w:szCs w:val="21"/>
              </w:rPr>
            </w:pPr>
          </w:p>
        </w:tc>
      </w:tr>
      <w:tr w14:paraId="71E3889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2044" w:type="dxa"/>
            <w:tcBorders>
              <w:top w:val="single" w:color="auto" w:sz="4" w:space="0"/>
              <w:left w:val="single" w:color="auto" w:sz="8" w:space="0"/>
              <w:bottom w:val="single" w:color="auto" w:sz="8" w:space="0"/>
              <w:right w:val="single" w:color="auto" w:sz="6" w:space="0"/>
            </w:tcBorders>
            <w:noWrap/>
            <w:vAlign w:val="center"/>
          </w:tcPr>
          <w:p w14:paraId="3689C69F">
            <w:pPr>
              <w:snapToGrid w:val="0"/>
              <w:jc w:val="center"/>
              <w:rPr>
                <w:rFonts w:ascii="宋体" w:hAnsi="宋体" w:cs="宋体"/>
                <w:szCs w:val="21"/>
              </w:rPr>
            </w:pPr>
            <w:r>
              <w:rPr>
                <w:rFonts w:hint="eastAsia" w:ascii="宋体" w:hAnsi="宋体" w:cs="宋体"/>
                <w:szCs w:val="21"/>
              </w:rPr>
              <w:t>收货方签名</w:t>
            </w:r>
          </w:p>
        </w:tc>
        <w:tc>
          <w:tcPr>
            <w:tcW w:w="2562" w:type="dxa"/>
            <w:tcBorders>
              <w:top w:val="single" w:color="auto" w:sz="4" w:space="0"/>
              <w:left w:val="single" w:color="auto" w:sz="6" w:space="0"/>
              <w:bottom w:val="single" w:color="auto" w:sz="8" w:space="0"/>
              <w:right w:val="single" w:color="auto" w:sz="4" w:space="0"/>
            </w:tcBorders>
            <w:noWrap/>
            <w:vAlign w:val="center"/>
          </w:tcPr>
          <w:p w14:paraId="4B9EC4B4">
            <w:pPr>
              <w:snapToGrid w:val="0"/>
              <w:jc w:val="center"/>
              <w:rPr>
                <w:rFonts w:ascii="宋体" w:hAnsi="宋体" w:cs="宋体"/>
                <w:szCs w:val="21"/>
              </w:rPr>
            </w:pPr>
          </w:p>
        </w:tc>
        <w:tc>
          <w:tcPr>
            <w:tcW w:w="1983" w:type="dxa"/>
            <w:tcBorders>
              <w:top w:val="single" w:color="auto" w:sz="4" w:space="0"/>
              <w:left w:val="single" w:color="auto" w:sz="4" w:space="0"/>
              <w:bottom w:val="single" w:color="auto" w:sz="8" w:space="0"/>
              <w:right w:val="single" w:color="auto" w:sz="4" w:space="0"/>
            </w:tcBorders>
            <w:noWrap/>
            <w:vAlign w:val="center"/>
          </w:tcPr>
          <w:p w14:paraId="60D91FF5">
            <w:pPr>
              <w:snapToGrid w:val="0"/>
              <w:jc w:val="center"/>
              <w:rPr>
                <w:rFonts w:ascii="宋体" w:hAnsi="宋体" w:cs="宋体"/>
                <w:szCs w:val="21"/>
              </w:rPr>
            </w:pPr>
            <w:r>
              <w:rPr>
                <w:rFonts w:hint="eastAsia" w:ascii="宋体" w:hAnsi="宋体" w:cs="宋体"/>
                <w:szCs w:val="21"/>
              </w:rPr>
              <w:t>供货负责人</w:t>
            </w:r>
          </w:p>
          <w:p w14:paraId="755A2C08">
            <w:pPr>
              <w:snapToGrid w:val="0"/>
              <w:jc w:val="center"/>
              <w:rPr>
                <w:rFonts w:ascii="宋体" w:hAnsi="宋体" w:cs="宋体"/>
                <w:szCs w:val="21"/>
              </w:rPr>
            </w:pPr>
            <w:r>
              <w:rPr>
                <w:rFonts w:hint="eastAsia" w:ascii="宋体" w:hAnsi="宋体" w:cs="宋体"/>
                <w:szCs w:val="21"/>
              </w:rPr>
              <w:t>签名</w:t>
            </w:r>
          </w:p>
        </w:tc>
        <w:tc>
          <w:tcPr>
            <w:tcW w:w="2256" w:type="dxa"/>
            <w:tcBorders>
              <w:top w:val="single" w:color="auto" w:sz="4" w:space="0"/>
              <w:left w:val="single" w:color="auto" w:sz="4" w:space="0"/>
              <w:bottom w:val="single" w:color="auto" w:sz="8" w:space="0"/>
              <w:right w:val="single" w:color="auto" w:sz="8" w:space="0"/>
            </w:tcBorders>
            <w:noWrap/>
            <w:vAlign w:val="center"/>
          </w:tcPr>
          <w:p w14:paraId="53097C29">
            <w:pPr>
              <w:snapToGrid w:val="0"/>
              <w:jc w:val="center"/>
              <w:rPr>
                <w:rFonts w:ascii="宋体" w:hAnsi="宋体" w:cs="宋体"/>
                <w:szCs w:val="21"/>
              </w:rPr>
            </w:pPr>
          </w:p>
        </w:tc>
      </w:tr>
    </w:tbl>
    <w:p w14:paraId="760E1AA2">
      <w:pPr>
        <w:snapToGrid w:val="0"/>
        <w:spacing w:line="360" w:lineRule="auto"/>
        <w:ind w:firstLine="420" w:firstLineChars="200"/>
        <w:rPr>
          <w:rFonts w:ascii="宋体" w:hAnsi="宋体" w:cs="宋体"/>
          <w:szCs w:val="21"/>
        </w:rPr>
      </w:pPr>
    </w:p>
    <w:p w14:paraId="6DCFB0EF">
      <w:pPr>
        <w:snapToGrid w:val="0"/>
        <w:spacing w:line="360" w:lineRule="auto"/>
        <w:ind w:firstLine="420" w:firstLineChars="200"/>
        <w:rPr>
          <w:rFonts w:ascii="宋体" w:hAnsi="宋体" w:cs="宋体"/>
          <w:b/>
          <w:bCs/>
          <w:szCs w:val="21"/>
        </w:rPr>
      </w:pPr>
      <w:r>
        <w:rPr>
          <w:rFonts w:hint="eastAsia" w:ascii="宋体" w:hAnsi="宋体" w:cs="宋体"/>
          <w:szCs w:val="21"/>
        </w:rPr>
        <w:t>说明：履约异常情况分为质量、时间、服务、价格、其他共五类，请首先在对应的类别前打“√”，然后在“具体情况”一栏详细说明情况。本表格一式两联，供应商及收货方各执一联。</w:t>
      </w:r>
      <w:r>
        <w:rPr>
          <w:rFonts w:hint="eastAsia" w:ascii="宋体" w:hAnsi="宋体" w:cs="宋体"/>
          <w:b/>
          <w:bCs/>
          <w:szCs w:val="21"/>
        </w:rPr>
        <w:br w:type="page"/>
      </w:r>
    </w:p>
    <w:p w14:paraId="1F2A02BE">
      <w:pPr>
        <w:snapToGrid w:val="0"/>
        <w:spacing w:line="360" w:lineRule="auto"/>
        <w:jc w:val="left"/>
        <w:rPr>
          <w:rFonts w:ascii="宋体" w:hAnsi="宋体" w:cs="宋体"/>
          <w:bCs/>
          <w:szCs w:val="21"/>
        </w:rPr>
      </w:pPr>
      <w:r>
        <w:rPr>
          <w:rFonts w:hint="eastAsia" w:ascii="宋体" w:hAnsi="宋体" w:cs="宋体"/>
          <w:bCs/>
          <w:szCs w:val="21"/>
        </w:rPr>
        <w:t xml:space="preserve">附件2 </w:t>
      </w:r>
    </w:p>
    <w:p w14:paraId="320165AC">
      <w:pPr>
        <w:snapToGrid w:val="0"/>
        <w:jc w:val="center"/>
        <w:rPr>
          <w:rFonts w:ascii="宋体" w:hAnsi="宋体" w:cs="宋体"/>
          <w:szCs w:val="21"/>
        </w:rPr>
      </w:pPr>
      <w:r>
        <w:rPr>
          <w:rFonts w:hint="eastAsia" w:ascii="宋体" w:hAnsi="宋体" w:cs="宋体"/>
          <w:b/>
          <w:bCs/>
          <w:sz w:val="36"/>
          <w:szCs w:val="36"/>
        </w:rPr>
        <w:t>布草洗涤服务采购反馈情况表</w:t>
      </w:r>
    </w:p>
    <w:tbl>
      <w:tblPr>
        <w:tblStyle w:val="21"/>
        <w:tblW w:w="88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0"/>
        <w:gridCol w:w="701"/>
        <w:gridCol w:w="1294"/>
        <w:gridCol w:w="183"/>
        <w:gridCol w:w="1235"/>
        <w:gridCol w:w="19"/>
        <w:gridCol w:w="973"/>
        <w:gridCol w:w="992"/>
        <w:gridCol w:w="1765"/>
      </w:tblGrid>
      <w:tr w14:paraId="54713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1690" w:type="dxa"/>
            <w:tcBorders>
              <w:top w:val="single" w:color="auto" w:sz="4" w:space="0"/>
              <w:left w:val="single" w:color="auto" w:sz="4" w:space="0"/>
              <w:bottom w:val="single" w:color="auto" w:sz="4" w:space="0"/>
              <w:right w:val="single" w:color="auto" w:sz="4" w:space="0"/>
            </w:tcBorders>
            <w:noWrap/>
            <w:vAlign w:val="center"/>
          </w:tcPr>
          <w:p w14:paraId="14A0A90A">
            <w:pPr>
              <w:snapToGrid w:val="0"/>
              <w:jc w:val="center"/>
              <w:rPr>
                <w:rFonts w:ascii="宋体" w:hAnsi="宋体" w:cs="宋体"/>
                <w:szCs w:val="21"/>
              </w:rPr>
            </w:pPr>
            <w:r>
              <w:rPr>
                <w:rFonts w:hint="eastAsia" w:ascii="宋体" w:hAnsi="宋体" w:cs="宋体"/>
                <w:szCs w:val="21"/>
              </w:rPr>
              <w:t>中标供应商名称</w:t>
            </w:r>
          </w:p>
        </w:tc>
        <w:tc>
          <w:tcPr>
            <w:tcW w:w="3413" w:type="dxa"/>
            <w:gridSpan w:val="4"/>
            <w:tcBorders>
              <w:top w:val="single" w:color="auto" w:sz="4" w:space="0"/>
              <w:left w:val="single" w:color="auto" w:sz="4" w:space="0"/>
              <w:bottom w:val="single" w:color="auto" w:sz="4" w:space="0"/>
              <w:right w:val="single" w:color="auto" w:sz="4" w:space="0"/>
            </w:tcBorders>
            <w:noWrap/>
            <w:vAlign w:val="center"/>
          </w:tcPr>
          <w:p w14:paraId="26EA4467">
            <w:pPr>
              <w:snapToGrid w:val="0"/>
              <w:jc w:val="center"/>
              <w:rPr>
                <w:rFonts w:ascii="宋体" w:hAnsi="宋体" w:cs="宋体"/>
                <w:szCs w:val="21"/>
              </w:rPr>
            </w:pPr>
          </w:p>
        </w:tc>
        <w:tc>
          <w:tcPr>
            <w:tcW w:w="1984" w:type="dxa"/>
            <w:gridSpan w:val="3"/>
            <w:tcBorders>
              <w:top w:val="single" w:color="auto" w:sz="4" w:space="0"/>
              <w:left w:val="single" w:color="auto" w:sz="4" w:space="0"/>
              <w:bottom w:val="single" w:color="auto" w:sz="4" w:space="0"/>
              <w:right w:val="single" w:color="auto" w:sz="4" w:space="0"/>
            </w:tcBorders>
            <w:noWrap/>
            <w:vAlign w:val="center"/>
          </w:tcPr>
          <w:p w14:paraId="351A213D">
            <w:pPr>
              <w:snapToGrid w:val="0"/>
              <w:jc w:val="center"/>
              <w:rPr>
                <w:rFonts w:ascii="宋体" w:hAnsi="宋体" w:cs="宋体"/>
                <w:szCs w:val="21"/>
              </w:rPr>
            </w:pPr>
            <w:r>
              <w:rPr>
                <w:rFonts w:hint="eastAsia" w:ascii="宋体" w:hAnsi="宋体" w:cs="宋体"/>
                <w:szCs w:val="21"/>
              </w:rPr>
              <w:t>供应商联系人及电话</w:t>
            </w:r>
          </w:p>
        </w:tc>
        <w:tc>
          <w:tcPr>
            <w:tcW w:w="1765" w:type="dxa"/>
            <w:tcBorders>
              <w:top w:val="single" w:color="auto" w:sz="4" w:space="0"/>
              <w:left w:val="single" w:color="auto" w:sz="4" w:space="0"/>
              <w:bottom w:val="single" w:color="auto" w:sz="4" w:space="0"/>
              <w:right w:val="single" w:color="auto" w:sz="4" w:space="0"/>
            </w:tcBorders>
            <w:noWrap/>
            <w:vAlign w:val="center"/>
          </w:tcPr>
          <w:p w14:paraId="4BC3E664">
            <w:pPr>
              <w:snapToGrid w:val="0"/>
              <w:rPr>
                <w:rFonts w:ascii="宋体" w:hAnsi="宋体" w:cs="宋体"/>
                <w:szCs w:val="21"/>
              </w:rPr>
            </w:pPr>
          </w:p>
        </w:tc>
      </w:tr>
      <w:tr w14:paraId="4E4F1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1690" w:type="dxa"/>
            <w:tcBorders>
              <w:top w:val="single" w:color="auto" w:sz="4" w:space="0"/>
              <w:left w:val="single" w:color="auto" w:sz="4" w:space="0"/>
              <w:bottom w:val="single" w:color="auto" w:sz="4" w:space="0"/>
              <w:right w:val="single" w:color="auto" w:sz="4" w:space="0"/>
            </w:tcBorders>
            <w:noWrap/>
            <w:vAlign w:val="center"/>
          </w:tcPr>
          <w:p w14:paraId="550C8587">
            <w:pPr>
              <w:snapToGrid w:val="0"/>
              <w:jc w:val="center"/>
              <w:rPr>
                <w:rFonts w:ascii="宋体" w:hAnsi="宋体" w:cs="宋体"/>
                <w:szCs w:val="21"/>
              </w:rPr>
            </w:pPr>
            <w:r>
              <w:rPr>
                <w:rFonts w:hint="eastAsia" w:ascii="宋体" w:hAnsi="宋体" w:cs="宋体"/>
                <w:szCs w:val="21"/>
              </w:rPr>
              <w:t>合同履约</w:t>
            </w:r>
          </w:p>
          <w:p w14:paraId="47CBB859">
            <w:pPr>
              <w:snapToGrid w:val="0"/>
              <w:jc w:val="center"/>
              <w:rPr>
                <w:rFonts w:ascii="宋体" w:hAnsi="宋体" w:cs="宋体"/>
                <w:szCs w:val="21"/>
              </w:rPr>
            </w:pPr>
            <w:r>
              <w:rPr>
                <w:rFonts w:hint="eastAsia" w:ascii="宋体" w:hAnsi="宋体" w:cs="宋体"/>
                <w:szCs w:val="21"/>
              </w:rPr>
              <w:t>时间</w:t>
            </w:r>
          </w:p>
        </w:tc>
        <w:tc>
          <w:tcPr>
            <w:tcW w:w="3413" w:type="dxa"/>
            <w:gridSpan w:val="4"/>
            <w:tcBorders>
              <w:top w:val="single" w:color="auto" w:sz="4" w:space="0"/>
              <w:left w:val="single" w:color="auto" w:sz="4" w:space="0"/>
              <w:bottom w:val="single" w:color="auto" w:sz="4" w:space="0"/>
              <w:right w:val="single" w:color="auto" w:sz="4" w:space="0"/>
            </w:tcBorders>
            <w:noWrap/>
            <w:vAlign w:val="center"/>
          </w:tcPr>
          <w:p w14:paraId="6389D729">
            <w:pPr>
              <w:snapToGrid w:val="0"/>
              <w:jc w:val="center"/>
              <w:rPr>
                <w:rFonts w:ascii="宋体" w:hAnsi="宋体" w:cs="宋体"/>
                <w:szCs w:val="21"/>
              </w:rPr>
            </w:pPr>
          </w:p>
        </w:tc>
        <w:tc>
          <w:tcPr>
            <w:tcW w:w="1984" w:type="dxa"/>
            <w:gridSpan w:val="3"/>
            <w:tcBorders>
              <w:top w:val="single" w:color="auto" w:sz="4" w:space="0"/>
              <w:left w:val="single" w:color="auto" w:sz="4" w:space="0"/>
              <w:bottom w:val="single" w:color="auto" w:sz="4" w:space="0"/>
              <w:right w:val="single" w:color="auto" w:sz="4" w:space="0"/>
            </w:tcBorders>
            <w:noWrap/>
            <w:vAlign w:val="center"/>
          </w:tcPr>
          <w:p w14:paraId="39E356E5">
            <w:pPr>
              <w:snapToGrid w:val="0"/>
              <w:jc w:val="center"/>
              <w:rPr>
                <w:rFonts w:ascii="宋体" w:hAnsi="宋体" w:cs="宋体"/>
                <w:szCs w:val="21"/>
              </w:rPr>
            </w:pPr>
            <w:r>
              <w:rPr>
                <w:rFonts w:hint="eastAsia" w:ascii="宋体" w:hAnsi="宋体" w:cs="宋体"/>
                <w:szCs w:val="21"/>
              </w:rPr>
              <w:t>反馈月份</w:t>
            </w:r>
          </w:p>
        </w:tc>
        <w:tc>
          <w:tcPr>
            <w:tcW w:w="1765" w:type="dxa"/>
            <w:tcBorders>
              <w:top w:val="single" w:color="auto" w:sz="4" w:space="0"/>
              <w:left w:val="single" w:color="auto" w:sz="4" w:space="0"/>
              <w:bottom w:val="single" w:color="auto" w:sz="4" w:space="0"/>
              <w:right w:val="single" w:color="auto" w:sz="4" w:space="0"/>
            </w:tcBorders>
            <w:noWrap/>
            <w:vAlign w:val="center"/>
          </w:tcPr>
          <w:p w14:paraId="3918E022">
            <w:pPr>
              <w:snapToGrid w:val="0"/>
              <w:rPr>
                <w:rFonts w:ascii="宋体" w:hAnsi="宋体" w:cs="宋体"/>
                <w:szCs w:val="21"/>
              </w:rPr>
            </w:pPr>
          </w:p>
        </w:tc>
      </w:tr>
      <w:tr w14:paraId="5264D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690"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46E5DF7F">
            <w:pPr>
              <w:snapToGrid w:val="0"/>
              <w:jc w:val="center"/>
              <w:rPr>
                <w:rFonts w:ascii="宋体" w:hAnsi="宋体" w:cs="宋体"/>
                <w:szCs w:val="21"/>
              </w:rPr>
            </w:pPr>
            <w:r>
              <w:rPr>
                <w:rFonts w:hint="eastAsia" w:ascii="宋体" w:hAnsi="宋体" w:cs="宋体"/>
                <w:szCs w:val="21"/>
              </w:rPr>
              <w:t>履 约 情 况 评 价</w:t>
            </w:r>
          </w:p>
        </w:tc>
        <w:tc>
          <w:tcPr>
            <w:tcW w:w="70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6B4CBF0D">
            <w:pPr>
              <w:snapToGrid w:val="0"/>
              <w:jc w:val="center"/>
              <w:rPr>
                <w:rFonts w:ascii="宋体" w:hAnsi="宋体" w:cs="宋体"/>
                <w:szCs w:val="21"/>
              </w:rPr>
            </w:pPr>
            <w:r>
              <w:rPr>
                <w:rFonts w:hint="eastAsia" w:ascii="宋体" w:hAnsi="宋体" w:cs="宋体"/>
                <w:szCs w:val="21"/>
              </w:rPr>
              <w:t>分 项 评 价</w:t>
            </w:r>
          </w:p>
        </w:tc>
        <w:tc>
          <w:tcPr>
            <w:tcW w:w="1477" w:type="dxa"/>
            <w:gridSpan w:val="2"/>
            <w:tcBorders>
              <w:top w:val="single" w:color="auto" w:sz="4" w:space="0"/>
              <w:left w:val="single" w:color="auto" w:sz="4" w:space="0"/>
              <w:bottom w:val="single" w:color="auto" w:sz="4" w:space="0"/>
              <w:right w:val="single" w:color="auto" w:sz="4" w:space="0"/>
            </w:tcBorders>
            <w:noWrap/>
            <w:vAlign w:val="center"/>
          </w:tcPr>
          <w:p w14:paraId="23698E6D">
            <w:pPr>
              <w:snapToGrid w:val="0"/>
              <w:jc w:val="center"/>
              <w:rPr>
                <w:rFonts w:ascii="宋体" w:hAnsi="宋体" w:cs="宋体"/>
                <w:szCs w:val="21"/>
              </w:rPr>
            </w:pPr>
            <w:r>
              <w:rPr>
                <w:rFonts w:hint="eastAsia" w:ascii="宋体" w:hAnsi="宋体" w:cs="宋体"/>
                <w:szCs w:val="21"/>
              </w:rPr>
              <w:t>质量方面</w:t>
            </w:r>
          </w:p>
        </w:tc>
        <w:tc>
          <w:tcPr>
            <w:tcW w:w="4984" w:type="dxa"/>
            <w:gridSpan w:val="5"/>
            <w:tcBorders>
              <w:top w:val="single" w:color="auto" w:sz="4" w:space="0"/>
              <w:left w:val="single" w:color="auto" w:sz="4" w:space="0"/>
              <w:bottom w:val="single" w:color="auto" w:sz="4" w:space="0"/>
              <w:right w:val="single" w:color="auto" w:sz="4" w:space="0"/>
            </w:tcBorders>
            <w:noWrap/>
            <w:vAlign w:val="center"/>
          </w:tcPr>
          <w:p w14:paraId="6AC14A97">
            <w:pPr>
              <w:snapToGrid w:val="0"/>
              <w:rPr>
                <w:rFonts w:ascii="宋体" w:hAnsi="宋体" w:cs="宋体"/>
                <w:szCs w:val="21"/>
              </w:rPr>
            </w:pPr>
            <w:r>
              <w:rPr>
                <w:rFonts w:hint="eastAsia" w:ascii="宋体" w:hAnsi="宋体" w:cs="宋体"/>
                <w:szCs w:val="21"/>
              </w:rPr>
              <w:t>□ 优 □ 良 □ 中 □ 差</w:t>
            </w:r>
          </w:p>
        </w:tc>
      </w:tr>
      <w:tr w14:paraId="1694E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690" w:type="dxa"/>
            <w:vMerge w:val="continue"/>
            <w:tcBorders>
              <w:top w:val="single" w:color="auto" w:sz="4" w:space="0"/>
              <w:left w:val="single" w:color="auto" w:sz="4" w:space="0"/>
              <w:bottom w:val="single" w:color="auto" w:sz="4" w:space="0"/>
              <w:right w:val="single" w:color="auto" w:sz="4" w:space="0"/>
            </w:tcBorders>
            <w:noWrap/>
            <w:vAlign w:val="center"/>
          </w:tcPr>
          <w:p w14:paraId="31E85BA3">
            <w:pPr>
              <w:snapToGrid w:val="0"/>
              <w:rPr>
                <w:rFonts w:ascii="宋体" w:hAnsi="宋体" w:cs="宋体"/>
                <w:szCs w:val="21"/>
              </w:rPr>
            </w:pPr>
          </w:p>
        </w:tc>
        <w:tc>
          <w:tcPr>
            <w:tcW w:w="701" w:type="dxa"/>
            <w:vMerge w:val="continue"/>
            <w:tcBorders>
              <w:top w:val="single" w:color="auto" w:sz="4" w:space="0"/>
              <w:left w:val="single" w:color="auto" w:sz="4" w:space="0"/>
              <w:bottom w:val="single" w:color="auto" w:sz="4" w:space="0"/>
              <w:right w:val="single" w:color="auto" w:sz="4" w:space="0"/>
            </w:tcBorders>
            <w:noWrap/>
            <w:vAlign w:val="center"/>
          </w:tcPr>
          <w:p w14:paraId="12BC2655">
            <w:pPr>
              <w:snapToGrid w:val="0"/>
              <w:rPr>
                <w:rFonts w:ascii="宋体" w:hAnsi="宋体" w:cs="宋体"/>
                <w:szCs w:val="21"/>
              </w:rPr>
            </w:pPr>
          </w:p>
        </w:tc>
        <w:tc>
          <w:tcPr>
            <w:tcW w:w="1477" w:type="dxa"/>
            <w:gridSpan w:val="2"/>
            <w:tcBorders>
              <w:top w:val="single" w:color="auto" w:sz="4" w:space="0"/>
              <w:left w:val="single" w:color="auto" w:sz="4" w:space="0"/>
              <w:bottom w:val="single" w:color="auto" w:sz="4" w:space="0"/>
              <w:right w:val="single" w:color="auto" w:sz="4" w:space="0"/>
            </w:tcBorders>
            <w:noWrap/>
            <w:vAlign w:val="center"/>
          </w:tcPr>
          <w:p w14:paraId="5F87EAF6">
            <w:pPr>
              <w:snapToGrid w:val="0"/>
              <w:jc w:val="center"/>
              <w:rPr>
                <w:rFonts w:ascii="宋体" w:hAnsi="宋体" w:cs="宋体"/>
                <w:szCs w:val="21"/>
              </w:rPr>
            </w:pPr>
            <w:r>
              <w:rPr>
                <w:rFonts w:hint="eastAsia" w:ascii="宋体" w:hAnsi="宋体" w:cs="宋体"/>
                <w:szCs w:val="21"/>
              </w:rPr>
              <w:t>价格方面</w:t>
            </w:r>
          </w:p>
        </w:tc>
        <w:tc>
          <w:tcPr>
            <w:tcW w:w="4984" w:type="dxa"/>
            <w:gridSpan w:val="5"/>
            <w:tcBorders>
              <w:top w:val="single" w:color="auto" w:sz="4" w:space="0"/>
              <w:left w:val="single" w:color="auto" w:sz="4" w:space="0"/>
              <w:bottom w:val="single" w:color="auto" w:sz="4" w:space="0"/>
              <w:right w:val="single" w:color="auto" w:sz="4" w:space="0"/>
            </w:tcBorders>
            <w:noWrap/>
            <w:vAlign w:val="center"/>
          </w:tcPr>
          <w:p w14:paraId="2C9BE31E">
            <w:pPr>
              <w:snapToGrid w:val="0"/>
              <w:rPr>
                <w:rFonts w:ascii="宋体" w:hAnsi="宋体" w:cs="宋体"/>
                <w:szCs w:val="21"/>
              </w:rPr>
            </w:pPr>
            <w:r>
              <w:rPr>
                <w:rFonts w:hint="eastAsia" w:ascii="宋体" w:hAnsi="宋体" w:cs="宋体"/>
                <w:szCs w:val="21"/>
              </w:rPr>
              <w:t>□ 优 □ 良 □ 中 □ 差</w:t>
            </w:r>
          </w:p>
        </w:tc>
      </w:tr>
      <w:tr w14:paraId="083AD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690" w:type="dxa"/>
            <w:vMerge w:val="continue"/>
            <w:tcBorders>
              <w:top w:val="single" w:color="auto" w:sz="4" w:space="0"/>
              <w:left w:val="single" w:color="auto" w:sz="4" w:space="0"/>
              <w:bottom w:val="single" w:color="auto" w:sz="4" w:space="0"/>
              <w:right w:val="single" w:color="auto" w:sz="4" w:space="0"/>
            </w:tcBorders>
            <w:noWrap/>
            <w:vAlign w:val="center"/>
          </w:tcPr>
          <w:p w14:paraId="5F854474">
            <w:pPr>
              <w:snapToGrid w:val="0"/>
              <w:rPr>
                <w:rFonts w:ascii="宋体" w:hAnsi="宋体" w:cs="宋体"/>
                <w:szCs w:val="21"/>
              </w:rPr>
            </w:pPr>
          </w:p>
        </w:tc>
        <w:tc>
          <w:tcPr>
            <w:tcW w:w="701" w:type="dxa"/>
            <w:vMerge w:val="continue"/>
            <w:tcBorders>
              <w:top w:val="single" w:color="auto" w:sz="4" w:space="0"/>
              <w:left w:val="single" w:color="auto" w:sz="4" w:space="0"/>
              <w:bottom w:val="single" w:color="auto" w:sz="4" w:space="0"/>
              <w:right w:val="single" w:color="auto" w:sz="4" w:space="0"/>
            </w:tcBorders>
            <w:noWrap/>
            <w:vAlign w:val="center"/>
          </w:tcPr>
          <w:p w14:paraId="680DBA29">
            <w:pPr>
              <w:snapToGrid w:val="0"/>
              <w:rPr>
                <w:rFonts w:ascii="宋体" w:hAnsi="宋体" w:cs="宋体"/>
                <w:szCs w:val="21"/>
              </w:rPr>
            </w:pPr>
          </w:p>
        </w:tc>
        <w:tc>
          <w:tcPr>
            <w:tcW w:w="1477" w:type="dxa"/>
            <w:gridSpan w:val="2"/>
            <w:tcBorders>
              <w:top w:val="single" w:color="auto" w:sz="4" w:space="0"/>
              <w:left w:val="single" w:color="auto" w:sz="4" w:space="0"/>
              <w:bottom w:val="single" w:color="auto" w:sz="4" w:space="0"/>
              <w:right w:val="single" w:color="auto" w:sz="4" w:space="0"/>
            </w:tcBorders>
            <w:noWrap/>
            <w:vAlign w:val="center"/>
          </w:tcPr>
          <w:p w14:paraId="4AC96297">
            <w:pPr>
              <w:snapToGrid w:val="0"/>
              <w:jc w:val="center"/>
              <w:rPr>
                <w:rFonts w:ascii="宋体" w:hAnsi="宋体" w:cs="宋体"/>
                <w:szCs w:val="21"/>
              </w:rPr>
            </w:pPr>
            <w:r>
              <w:rPr>
                <w:rFonts w:hint="eastAsia" w:ascii="宋体" w:hAnsi="宋体" w:cs="宋体"/>
                <w:szCs w:val="21"/>
              </w:rPr>
              <w:t>服务方面</w:t>
            </w:r>
          </w:p>
        </w:tc>
        <w:tc>
          <w:tcPr>
            <w:tcW w:w="4984" w:type="dxa"/>
            <w:gridSpan w:val="5"/>
            <w:tcBorders>
              <w:top w:val="single" w:color="auto" w:sz="4" w:space="0"/>
              <w:left w:val="single" w:color="auto" w:sz="4" w:space="0"/>
              <w:bottom w:val="single" w:color="auto" w:sz="4" w:space="0"/>
              <w:right w:val="single" w:color="auto" w:sz="4" w:space="0"/>
            </w:tcBorders>
            <w:noWrap/>
            <w:vAlign w:val="center"/>
          </w:tcPr>
          <w:p w14:paraId="2BF0F415">
            <w:pPr>
              <w:snapToGrid w:val="0"/>
              <w:rPr>
                <w:rFonts w:ascii="宋体" w:hAnsi="宋体" w:cs="宋体"/>
                <w:szCs w:val="21"/>
              </w:rPr>
            </w:pPr>
            <w:r>
              <w:rPr>
                <w:rFonts w:hint="eastAsia" w:ascii="宋体" w:hAnsi="宋体" w:cs="宋体"/>
                <w:szCs w:val="21"/>
              </w:rPr>
              <w:t>□ 优 □ 良 □ 中 □ 差</w:t>
            </w:r>
          </w:p>
        </w:tc>
      </w:tr>
      <w:tr w14:paraId="41302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690" w:type="dxa"/>
            <w:vMerge w:val="continue"/>
            <w:tcBorders>
              <w:top w:val="single" w:color="auto" w:sz="4" w:space="0"/>
              <w:left w:val="single" w:color="auto" w:sz="4" w:space="0"/>
              <w:bottom w:val="single" w:color="auto" w:sz="4" w:space="0"/>
              <w:right w:val="single" w:color="auto" w:sz="4" w:space="0"/>
            </w:tcBorders>
            <w:noWrap/>
            <w:vAlign w:val="center"/>
          </w:tcPr>
          <w:p w14:paraId="46D3B5E0">
            <w:pPr>
              <w:snapToGrid w:val="0"/>
              <w:rPr>
                <w:rFonts w:ascii="宋体" w:hAnsi="宋体" w:cs="宋体"/>
                <w:szCs w:val="21"/>
              </w:rPr>
            </w:pPr>
          </w:p>
        </w:tc>
        <w:tc>
          <w:tcPr>
            <w:tcW w:w="701" w:type="dxa"/>
            <w:vMerge w:val="continue"/>
            <w:tcBorders>
              <w:top w:val="single" w:color="auto" w:sz="4" w:space="0"/>
              <w:left w:val="single" w:color="auto" w:sz="4" w:space="0"/>
              <w:bottom w:val="single" w:color="auto" w:sz="4" w:space="0"/>
              <w:right w:val="single" w:color="auto" w:sz="4" w:space="0"/>
            </w:tcBorders>
            <w:noWrap/>
            <w:vAlign w:val="center"/>
          </w:tcPr>
          <w:p w14:paraId="7C2E77BA">
            <w:pPr>
              <w:snapToGrid w:val="0"/>
              <w:rPr>
                <w:rFonts w:ascii="宋体" w:hAnsi="宋体" w:cs="宋体"/>
                <w:szCs w:val="21"/>
              </w:rPr>
            </w:pPr>
          </w:p>
        </w:tc>
        <w:tc>
          <w:tcPr>
            <w:tcW w:w="1477" w:type="dxa"/>
            <w:gridSpan w:val="2"/>
            <w:tcBorders>
              <w:top w:val="single" w:color="auto" w:sz="4" w:space="0"/>
              <w:left w:val="single" w:color="auto" w:sz="4" w:space="0"/>
              <w:bottom w:val="single" w:color="auto" w:sz="4" w:space="0"/>
              <w:right w:val="single" w:color="auto" w:sz="4" w:space="0"/>
            </w:tcBorders>
            <w:noWrap/>
            <w:vAlign w:val="center"/>
          </w:tcPr>
          <w:p w14:paraId="1E73E6EE">
            <w:pPr>
              <w:snapToGrid w:val="0"/>
              <w:jc w:val="center"/>
              <w:rPr>
                <w:rFonts w:ascii="宋体" w:hAnsi="宋体" w:cs="宋体"/>
                <w:szCs w:val="21"/>
              </w:rPr>
            </w:pPr>
            <w:r>
              <w:rPr>
                <w:rFonts w:hint="eastAsia" w:ascii="宋体" w:hAnsi="宋体" w:cs="宋体"/>
                <w:szCs w:val="21"/>
              </w:rPr>
              <w:t>时间方面</w:t>
            </w:r>
          </w:p>
        </w:tc>
        <w:tc>
          <w:tcPr>
            <w:tcW w:w="4984" w:type="dxa"/>
            <w:gridSpan w:val="5"/>
            <w:tcBorders>
              <w:top w:val="single" w:color="auto" w:sz="4" w:space="0"/>
              <w:left w:val="single" w:color="auto" w:sz="4" w:space="0"/>
              <w:bottom w:val="single" w:color="auto" w:sz="4" w:space="0"/>
              <w:right w:val="single" w:color="auto" w:sz="4" w:space="0"/>
            </w:tcBorders>
            <w:noWrap/>
            <w:vAlign w:val="center"/>
          </w:tcPr>
          <w:p w14:paraId="69C4F677">
            <w:pPr>
              <w:snapToGrid w:val="0"/>
              <w:rPr>
                <w:rFonts w:ascii="宋体" w:hAnsi="宋体" w:cs="宋体"/>
                <w:szCs w:val="21"/>
              </w:rPr>
            </w:pPr>
            <w:r>
              <w:rPr>
                <w:rFonts w:hint="eastAsia" w:ascii="宋体" w:hAnsi="宋体" w:cs="宋体"/>
                <w:szCs w:val="21"/>
              </w:rPr>
              <w:t>□ 优 □ 良 □ 中 □ 差</w:t>
            </w:r>
          </w:p>
        </w:tc>
      </w:tr>
      <w:tr w14:paraId="77445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690" w:type="dxa"/>
            <w:vMerge w:val="continue"/>
            <w:tcBorders>
              <w:top w:val="single" w:color="auto" w:sz="4" w:space="0"/>
              <w:left w:val="single" w:color="auto" w:sz="4" w:space="0"/>
              <w:bottom w:val="single" w:color="auto" w:sz="4" w:space="0"/>
              <w:right w:val="single" w:color="auto" w:sz="4" w:space="0"/>
            </w:tcBorders>
            <w:noWrap/>
            <w:vAlign w:val="center"/>
          </w:tcPr>
          <w:p w14:paraId="431E708D">
            <w:pPr>
              <w:snapToGrid w:val="0"/>
              <w:rPr>
                <w:rFonts w:ascii="宋体" w:hAnsi="宋体" w:cs="宋体"/>
                <w:szCs w:val="21"/>
              </w:rPr>
            </w:pPr>
          </w:p>
        </w:tc>
        <w:tc>
          <w:tcPr>
            <w:tcW w:w="701" w:type="dxa"/>
            <w:vMerge w:val="continue"/>
            <w:tcBorders>
              <w:top w:val="single" w:color="auto" w:sz="4" w:space="0"/>
              <w:left w:val="single" w:color="auto" w:sz="4" w:space="0"/>
              <w:bottom w:val="single" w:color="auto" w:sz="4" w:space="0"/>
              <w:right w:val="single" w:color="auto" w:sz="4" w:space="0"/>
            </w:tcBorders>
            <w:noWrap/>
            <w:vAlign w:val="center"/>
          </w:tcPr>
          <w:p w14:paraId="1F6F6D92">
            <w:pPr>
              <w:snapToGrid w:val="0"/>
              <w:rPr>
                <w:rFonts w:ascii="宋体" w:hAnsi="宋体" w:cs="宋体"/>
                <w:szCs w:val="21"/>
              </w:rPr>
            </w:pPr>
          </w:p>
        </w:tc>
        <w:tc>
          <w:tcPr>
            <w:tcW w:w="1477" w:type="dxa"/>
            <w:gridSpan w:val="2"/>
            <w:tcBorders>
              <w:top w:val="single" w:color="auto" w:sz="4" w:space="0"/>
              <w:left w:val="single" w:color="auto" w:sz="4" w:space="0"/>
              <w:bottom w:val="single" w:color="auto" w:sz="4" w:space="0"/>
              <w:right w:val="single" w:color="auto" w:sz="4" w:space="0"/>
            </w:tcBorders>
            <w:noWrap/>
            <w:vAlign w:val="center"/>
          </w:tcPr>
          <w:p w14:paraId="0ED738E9">
            <w:pPr>
              <w:snapToGrid w:val="0"/>
              <w:jc w:val="center"/>
              <w:rPr>
                <w:rFonts w:ascii="宋体" w:hAnsi="宋体" w:cs="宋体"/>
                <w:szCs w:val="21"/>
              </w:rPr>
            </w:pPr>
            <w:r>
              <w:rPr>
                <w:rFonts w:hint="eastAsia" w:ascii="宋体" w:hAnsi="宋体" w:cs="宋体"/>
                <w:szCs w:val="21"/>
              </w:rPr>
              <w:t>环境保护</w:t>
            </w:r>
          </w:p>
        </w:tc>
        <w:tc>
          <w:tcPr>
            <w:tcW w:w="4984" w:type="dxa"/>
            <w:gridSpan w:val="5"/>
            <w:tcBorders>
              <w:top w:val="single" w:color="auto" w:sz="4" w:space="0"/>
              <w:left w:val="single" w:color="auto" w:sz="4" w:space="0"/>
              <w:bottom w:val="single" w:color="auto" w:sz="4" w:space="0"/>
              <w:right w:val="single" w:color="auto" w:sz="4" w:space="0"/>
            </w:tcBorders>
            <w:noWrap/>
            <w:vAlign w:val="center"/>
          </w:tcPr>
          <w:p w14:paraId="6C560FFA">
            <w:pPr>
              <w:snapToGrid w:val="0"/>
              <w:rPr>
                <w:rFonts w:ascii="宋体" w:hAnsi="宋体" w:cs="宋体"/>
                <w:szCs w:val="21"/>
              </w:rPr>
            </w:pPr>
            <w:r>
              <w:rPr>
                <w:rFonts w:hint="eastAsia" w:ascii="宋体" w:hAnsi="宋体" w:cs="宋体"/>
                <w:szCs w:val="21"/>
              </w:rPr>
              <w:t>□ 优 □ 良 □ 中 □ 差</w:t>
            </w:r>
          </w:p>
        </w:tc>
      </w:tr>
      <w:tr w14:paraId="5F15C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690" w:type="dxa"/>
            <w:vMerge w:val="continue"/>
            <w:tcBorders>
              <w:top w:val="single" w:color="auto" w:sz="4" w:space="0"/>
              <w:left w:val="single" w:color="auto" w:sz="4" w:space="0"/>
              <w:bottom w:val="single" w:color="auto" w:sz="4" w:space="0"/>
              <w:right w:val="single" w:color="auto" w:sz="4" w:space="0"/>
            </w:tcBorders>
            <w:noWrap/>
            <w:vAlign w:val="center"/>
          </w:tcPr>
          <w:p w14:paraId="5773601A">
            <w:pPr>
              <w:snapToGrid w:val="0"/>
              <w:rPr>
                <w:rFonts w:ascii="宋体" w:hAnsi="宋体" w:cs="宋体"/>
                <w:szCs w:val="21"/>
              </w:rPr>
            </w:pPr>
          </w:p>
        </w:tc>
        <w:tc>
          <w:tcPr>
            <w:tcW w:w="701" w:type="dxa"/>
            <w:vMerge w:val="continue"/>
            <w:tcBorders>
              <w:top w:val="single" w:color="auto" w:sz="4" w:space="0"/>
              <w:left w:val="single" w:color="auto" w:sz="4" w:space="0"/>
              <w:bottom w:val="single" w:color="auto" w:sz="4" w:space="0"/>
              <w:right w:val="single" w:color="auto" w:sz="4" w:space="0"/>
            </w:tcBorders>
            <w:noWrap/>
            <w:vAlign w:val="center"/>
          </w:tcPr>
          <w:p w14:paraId="34123D7E">
            <w:pPr>
              <w:snapToGrid w:val="0"/>
              <w:rPr>
                <w:rFonts w:ascii="宋体" w:hAnsi="宋体" w:cs="宋体"/>
                <w:szCs w:val="21"/>
              </w:rPr>
            </w:pPr>
          </w:p>
        </w:tc>
        <w:tc>
          <w:tcPr>
            <w:tcW w:w="1477" w:type="dxa"/>
            <w:gridSpan w:val="2"/>
            <w:tcBorders>
              <w:top w:val="single" w:color="auto" w:sz="4" w:space="0"/>
              <w:left w:val="single" w:color="auto" w:sz="4" w:space="0"/>
              <w:bottom w:val="single" w:color="auto" w:sz="4" w:space="0"/>
              <w:right w:val="single" w:color="auto" w:sz="4" w:space="0"/>
            </w:tcBorders>
            <w:noWrap/>
            <w:vAlign w:val="center"/>
          </w:tcPr>
          <w:p w14:paraId="21335627">
            <w:pPr>
              <w:snapToGrid w:val="0"/>
              <w:jc w:val="center"/>
              <w:rPr>
                <w:rFonts w:ascii="宋体" w:hAnsi="宋体" w:cs="宋体"/>
                <w:szCs w:val="21"/>
              </w:rPr>
            </w:pPr>
            <w:r>
              <w:rPr>
                <w:rFonts w:hint="eastAsia" w:ascii="宋体" w:hAnsi="宋体" w:cs="宋体"/>
                <w:szCs w:val="21"/>
              </w:rPr>
              <w:t>其他</w:t>
            </w:r>
          </w:p>
        </w:tc>
        <w:tc>
          <w:tcPr>
            <w:tcW w:w="4984" w:type="dxa"/>
            <w:gridSpan w:val="5"/>
            <w:tcBorders>
              <w:top w:val="single" w:color="auto" w:sz="4" w:space="0"/>
              <w:left w:val="single" w:color="auto" w:sz="4" w:space="0"/>
              <w:bottom w:val="single" w:color="auto" w:sz="4" w:space="0"/>
              <w:right w:val="single" w:color="auto" w:sz="4" w:space="0"/>
            </w:tcBorders>
            <w:noWrap/>
            <w:vAlign w:val="center"/>
          </w:tcPr>
          <w:p w14:paraId="45958C44">
            <w:pPr>
              <w:snapToGrid w:val="0"/>
              <w:rPr>
                <w:rFonts w:ascii="宋体" w:hAnsi="宋体" w:cs="宋体"/>
                <w:szCs w:val="21"/>
              </w:rPr>
            </w:pPr>
            <w:r>
              <w:rPr>
                <w:rFonts w:hint="eastAsia" w:ascii="宋体" w:hAnsi="宋体" w:cs="宋体"/>
                <w:szCs w:val="21"/>
              </w:rPr>
              <w:t>评价内容为：</w:t>
            </w:r>
          </w:p>
          <w:p w14:paraId="235F182C">
            <w:pPr>
              <w:snapToGrid w:val="0"/>
              <w:rPr>
                <w:rFonts w:ascii="宋体" w:hAnsi="宋体" w:cs="宋体"/>
                <w:szCs w:val="21"/>
              </w:rPr>
            </w:pPr>
            <w:r>
              <w:rPr>
                <w:rFonts w:hint="eastAsia" w:ascii="宋体" w:hAnsi="宋体" w:cs="宋体"/>
                <w:szCs w:val="21"/>
              </w:rPr>
              <w:t>□ 优 □ 良 □ 中 □ 差</w:t>
            </w:r>
          </w:p>
        </w:tc>
      </w:tr>
      <w:tr w14:paraId="6F715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690" w:type="dxa"/>
            <w:vMerge w:val="continue"/>
            <w:tcBorders>
              <w:top w:val="single" w:color="auto" w:sz="4" w:space="0"/>
              <w:left w:val="single" w:color="auto" w:sz="4" w:space="0"/>
              <w:bottom w:val="single" w:color="auto" w:sz="4" w:space="0"/>
              <w:right w:val="single" w:color="auto" w:sz="4" w:space="0"/>
            </w:tcBorders>
            <w:noWrap/>
            <w:vAlign w:val="center"/>
          </w:tcPr>
          <w:p w14:paraId="0BCFA512">
            <w:pPr>
              <w:snapToGrid w:val="0"/>
              <w:rPr>
                <w:rFonts w:ascii="宋体" w:hAnsi="宋体" w:cs="宋体"/>
                <w:szCs w:val="21"/>
              </w:rPr>
            </w:pPr>
          </w:p>
        </w:tc>
        <w:tc>
          <w:tcPr>
            <w:tcW w:w="2178" w:type="dxa"/>
            <w:gridSpan w:val="3"/>
            <w:tcBorders>
              <w:top w:val="single" w:color="auto" w:sz="4" w:space="0"/>
              <w:left w:val="single" w:color="auto" w:sz="4" w:space="0"/>
              <w:bottom w:val="single" w:color="auto" w:sz="4" w:space="0"/>
              <w:right w:val="single" w:color="auto" w:sz="4" w:space="0"/>
            </w:tcBorders>
            <w:noWrap/>
            <w:vAlign w:val="center"/>
          </w:tcPr>
          <w:p w14:paraId="2311B16A">
            <w:pPr>
              <w:snapToGrid w:val="0"/>
              <w:jc w:val="center"/>
              <w:rPr>
                <w:rFonts w:ascii="宋体" w:hAnsi="宋体" w:cs="宋体"/>
                <w:szCs w:val="21"/>
              </w:rPr>
            </w:pPr>
            <w:r>
              <w:rPr>
                <w:rFonts w:hint="eastAsia" w:ascii="宋体" w:hAnsi="宋体" w:cs="宋体"/>
                <w:szCs w:val="21"/>
              </w:rPr>
              <w:t>履约总体评价</w:t>
            </w:r>
          </w:p>
        </w:tc>
        <w:tc>
          <w:tcPr>
            <w:tcW w:w="4984" w:type="dxa"/>
            <w:gridSpan w:val="5"/>
            <w:tcBorders>
              <w:top w:val="single" w:color="auto" w:sz="4" w:space="0"/>
              <w:left w:val="single" w:color="auto" w:sz="4" w:space="0"/>
              <w:bottom w:val="single" w:color="auto" w:sz="4" w:space="0"/>
              <w:right w:val="single" w:color="auto" w:sz="4" w:space="0"/>
            </w:tcBorders>
            <w:noWrap/>
            <w:vAlign w:val="center"/>
          </w:tcPr>
          <w:p w14:paraId="34F16459">
            <w:pPr>
              <w:snapToGrid w:val="0"/>
              <w:rPr>
                <w:rFonts w:ascii="宋体" w:hAnsi="宋体" w:cs="宋体"/>
                <w:szCs w:val="21"/>
              </w:rPr>
            </w:pPr>
            <w:r>
              <w:rPr>
                <w:rFonts w:hint="eastAsia" w:ascii="宋体" w:hAnsi="宋体" w:cs="宋体"/>
                <w:szCs w:val="21"/>
              </w:rPr>
              <w:t>□ 优 □ 良 □ 中 □ 差</w:t>
            </w:r>
          </w:p>
        </w:tc>
      </w:tr>
      <w:tr w14:paraId="21611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1690" w:type="dxa"/>
            <w:tcBorders>
              <w:top w:val="single" w:color="auto" w:sz="4" w:space="0"/>
              <w:left w:val="single" w:color="auto" w:sz="4" w:space="0"/>
              <w:bottom w:val="single" w:color="auto" w:sz="4" w:space="0"/>
              <w:right w:val="single" w:color="auto" w:sz="4" w:space="0"/>
            </w:tcBorders>
            <w:noWrap/>
            <w:vAlign w:val="center"/>
          </w:tcPr>
          <w:p w14:paraId="13CB81CC">
            <w:pPr>
              <w:snapToGrid w:val="0"/>
              <w:jc w:val="center"/>
              <w:rPr>
                <w:rFonts w:ascii="宋体" w:hAnsi="宋体" w:cs="宋体"/>
                <w:szCs w:val="21"/>
              </w:rPr>
            </w:pPr>
            <w:r>
              <w:rPr>
                <w:rFonts w:hint="eastAsia" w:ascii="宋体" w:hAnsi="宋体" w:cs="宋体"/>
                <w:szCs w:val="21"/>
              </w:rPr>
              <w:t>突发/应急事件具体</w:t>
            </w:r>
          </w:p>
          <w:p w14:paraId="3F75DA33">
            <w:pPr>
              <w:snapToGrid w:val="0"/>
              <w:jc w:val="center"/>
              <w:rPr>
                <w:rFonts w:ascii="宋体" w:hAnsi="宋体" w:cs="宋体"/>
                <w:szCs w:val="21"/>
              </w:rPr>
            </w:pPr>
            <w:r>
              <w:rPr>
                <w:rFonts w:hint="eastAsia" w:ascii="宋体" w:hAnsi="宋体" w:cs="宋体"/>
                <w:szCs w:val="21"/>
              </w:rPr>
              <w:t>情况说明</w:t>
            </w:r>
          </w:p>
        </w:tc>
        <w:tc>
          <w:tcPr>
            <w:tcW w:w="7162" w:type="dxa"/>
            <w:gridSpan w:val="8"/>
            <w:tcBorders>
              <w:top w:val="single" w:color="auto" w:sz="4" w:space="0"/>
              <w:left w:val="single" w:color="auto" w:sz="4" w:space="0"/>
              <w:bottom w:val="single" w:color="auto" w:sz="4" w:space="0"/>
              <w:right w:val="single" w:color="auto" w:sz="4" w:space="0"/>
            </w:tcBorders>
            <w:noWrap/>
            <w:vAlign w:val="center"/>
          </w:tcPr>
          <w:p w14:paraId="6B64F124">
            <w:pPr>
              <w:snapToGrid w:val="0"/>
              <w:rPr>
                <w:rFonts w:ascii="宋体" w:hAnsi="宋体" w:cs="宋体"/>
                <w:szCs w:val="21"/>
              </w:rPr>
            </w:pPr>
          </w:p>
        </w:tc>
      </w:tr>
      <w:tr w14:paraId="0F3CA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690" w:type="dxa"/>
            <w:vMerge w:val="restart"/>
            <w:tcBorders>
              <w:top w:val="single" w:color="auto" w:sz="4" w:space="0"/>
              <w:left w:val="single" w:color="auto" w:sz="4" w:space="0"/>
              <w:bottom w:val="single" w:color="auto" w:sz="4" w:space="0"/>
              <w:right w:val="single" w:color="auto" w:sz="4" w:space="0"/>
            </w:tcBorders>
            <w:noWrap/>
            <w:vAlign w:val="center"/>
          </w:tcPr>
          <w:p w14:paraId="63C4C737">
            <w:pPr>
              <w:snapToGrid w:val="0"/>
              <w:jc w:val="center"/>
              <w:rPr>
                <w:rFonts w:ascii="宋体" w:hAnsi="宋体" w:cs="宋体"/>
                <w:szCs w:val="21"/>
              </w:rPr>
            </w:pPr>
            <w:r>
              <w:rPr>
                <w:rFonts w:hint="eastAsia" w:ascii="宋体" w:hAnsi="宋体" w:cs="宋体"/>
                <w:szCs w:val="21"/>
              </w:rPr>
              <w:t>对整个供应项目的完成情况意见</w:t>
            </w:r>
          </w:p>
        </w:tc>
        <w:tc>
          <w:tcPr>
            <w:tcW w:w="1995" w:type="dxa"/>
            <w:gridSpan w:val="2"/>
            <w:tcBorders>
              <w:top w:val="single" w:color="auto" w:sz="4" w:space="0"/>
              <w:left w:val="single" w:color="auto" w:sz="4" w:space="0"/>
              <w:bottom w:val="single" w:color="auto" w:sz="4" w:space="0"/>
              <w:right w:val="single" w:color="auto" w:sz="4" w:space="0"/>
            </w:tcBorders>
            <w:noWrap/>
            <w:vAlign w:val="center"/>
          </w:tcPr>
          <w:p w14:paraId="4E3E5B41">
            <w:pPr>
              <w:snapToGrid w:val="0"/>
              <w:jc w:val="center"/>
              <w:rPr>
                <w:rFonts w:ascii="宋体" w:hAnsi="宋体" w:cs="宋体"/>
                <w:szCs w:val="21"/>
              </w:rPr>
            </w:pPr>
            <w:r>
              <w:rPr>
                <w:rFonts w:hint="eastAsia" w:ascii="宋体" w:hAnsi="宋体" w:cs="宋体"/>
                <w:szCs w:val="21"/>
              </w:rPr>
              <w:t>主要表现</w:t>
            </w:r>
          </w:p>
        </w:tc>
        <w:tc>
          <w:tcPr>
            <w:tcW w:w="5167" w:type="dxa"/>
            <w:gridSpan w:val="6"/>
            <w:tcBorders>
              <w:top w:val="single" w:color="auto" w:sz="4" w:space="0"/>
              <w:left w:val="single" w:color="auto" w:sz="4" w:space="0"/>
              <w:bottom w:val="single" w:color="auto" w:sz="4" w:space="0"/>
              <w:right w:val="single" w:color="auto" w:sz="4" w:space="0"/>
            </w:tcBorders>
            <w:noWrap/>
            <w:vAlign w:val="center"/>
          </w:tcPr>
          <w:p w14:paraId="3F236A32">
            <w:pPr>
              <w:snapToGrid w:val="0"/>
              <w:rPr>
                <w:rFonts w:ascii="宋体" w:hAnsi="宋体" w:cs="宋体"/>
                <w:szCs w:val="21"/>
              </w:rPr>
            </w:pPr>
          </w:p>
        </w:tc>
      </w:tr>
      <w:tr w14:paraId="053B2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690" w:type="dxa"/>
            <w:vMerge w:val="continue"/>
            <w:tcBorders>
              <w:top w:val="single" w:color="auto" w:sz="4" w:space="0"/>
              <w:left w:val="single" w:color="auto" w:sz="4" w:space="0"/>
              <w:bottom w:val="single" w:color="auto" w:sz="4" w:space="0"/>
              <w:right w:val="single" w:color="auto" w:sz="4" w:space="0"/>
            </w:tcBorders>
            <w:noWrap/>
            <w:vAlign w:val="center"/>
          </w:tcPr>
          <w:p w14:paraId="114881FB">
            <w:pPr>
              <w:snapToGrid w:val="0"/>
              <w:rPr>
                <w:rFonts w:ascii="宋体" w:hAnsi="宋体" w:cs="宋体"/>
                <w:szCs w:val="21"/>
              </w:rPr>
            </w:pPr>
          </w:p>
        </w:tc>
        <w:tc>
          <w:tcPr>
            <w:tcW w:w="1995" w:type="dxa"/>
            <w:gridSpan w:val="2"/>
            <w:tcBorders>
              <w:top w:val="single" w:color="auto" w:sz="4" w:space="0"/>
              <w:left w:val="single" w:color="auto" w:sz="4" w:space="0"/>
              <w:bottom w:val="single" w:color="auto" w:sz="4" w:space="0"/>
              <w:right w:val="single" w:color="auto" w:sz="4" w:space="0"/>
            </w:tcBorders>
            <w:noWrap/>
            <w:vAlign w:val="center"/>
          </w:tcPr>
          <w:p w14:paraId="5FCD16BA">
            <w:pPr>
              <w:snapToGrid w:val="0"/>
              <w:jc w:val="center"/>
              <w:rPr>
                <w:rFonts w:ascii="宋体" w:hAnsi="宋体" w:cs="宋体"/>
                <w:szCs w:val="21"/>
              </w:rPr>
            </w:pPr>
            <w:r>
              <w:rPr>
                <w:rFonts w:hint="eastAsia" w:ascii="宋体" w:hAnsi="宋体" w:cs="宋体"/>
                <w:szCs w:val="21"/>
              </w:rPr>
              <w:t>存在哪些问题</w:t>
            </w:r>
          </w:p>
        </w:tc>
        <w:tc>
          <w:tcPr>
            <w:tcW w:w="5167" w:type="dxa"/>
            <w:gridSpan w:val="6"/>
            <w:tcBorders>
              <w:top w:val="single" w:color="auto" w:sz="4" w:space="0"/>
              <w:left w:val="single" w:color="auto" w:sz="4" w:space="0"/>
              <w:bottom w:val="single" w:color="auto" w:sz="4" w:space="0"/>
              <w:right w:val="single" w:color="auto" w:sz="4" w:space="0"/>
            </w:tcBorders>
            <w:noWrap/>
            <w:vAlign w:val="center"/>
          </w:tcPr>
          <w:p w14:paraId="22CBCB9D">
            <w:pPr>
              <w:snapToGrid w:val="0"/>
              <w:rPr>
                <w:rFonts w:ascii="宋体" w:hAnsi="宋体" w:cs="宋体"/>
                <w:szCs w:val="21"/>
              </w:rPr>
            </w:pPr>
          </w:p>
        </w:tc>
      </w:tr>
      <w:tr w14:paraId="12F47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3685" w:type="dxa"/>
            <w:gridSpan w:val="3"/>
            <w:tcBorders>
              <w:top w:val="single" w:color="auto" w:sz="4" w:space="0"/>
              <w:left w:val="single" w:color="auto" w:sz="4" w:space="0"/>
              <w:bottom w:val="single" w:color="auto" w:sz="4" w:space="0"/>
              <w:right w:val="single" w:color="auto" w:sz="4" w:space="0"/>
            </w:tcBorders>
            <w:noWrap/>
            <w:vAlign w:val="center"/>
          </w:tcPr>
          <w:p w14:paraId="4D00CEE8">
            <w:pPr>
              <w:snapToGrid w:val="0"/>
              <w:jc w:val="center"/>
              <w:rPr>
                <w:rFonts w:ascii="宋体" w:hAnsi="宋体" w:cs="宋体"/>
                <w:szCs w:val="21"/>
              </w:rPr>
            </w:pPr>
            <w:r>
              <w:rPr>
                <w:rFonts w:hint="eastAsia" w:ascii="宋体" w:hAnsi="宋体" w:cs="宋体"/>
                <w:szCs w:val="21"/>
              </w:rPr>
              <w:t>对供应商的综合评分</w:t>
            </w:r>
          </w:p>
          <w:p w14:paraId="71E46312">
            <w:pPr>
              <w:snapToGrid w:val="0"/>
              <w:jc w:val="center"/>
              <w:rPr>
                <w:rFonts w:ascii="宋体" w:hAnsi="宋体" w:cs="宋体"/>
                <w:szCs w:val="21"/>
              </w:rPr>
            </w:pPr>
            <w:r>
              <w:rPr>
                <w:rFonts w:hint="eastAsia" w:ascii="宋体" w:hAnsi="宋体" w:cs="宋体"/>
                <w:szCs w:val="21"/>
              </w:rPr>
              <w:t>(总分100分)</w:t>
            </w:r>
          </w:p>
        </w:tc>
        <w:tc>
          <w:tcPr>
            <w:tcW w:w="1437" w:type="dxa"/>
            <w:gridSpan w:val="3"/>
            <w:tcBorders>
              <w:top w:val="single" w:color="auto" w:sz="4" w:space="0"/>
              <w:left w:val="single" w:color="auto" w:sz="4" w:space="0"/>
              <w:bottom w:val="single" w:color="auto" w:sz="4" w:space="0"/>
              <w:right w:val="single" w:color="auto" w:sz="4" w:space="0"/>
            </w:tcBorders>
            <w:noWrap/>
            <w:vAlign w:val="center"/>
          </w:tcPr>
          <w:p w14:paraId="31792AD4">
            <w:pPr>
              <w:snapToGrid w:val="0"/>
              <w:rPr>
                <w:rFonts w:ascii="宋体" w:hAnsi="宋体" w:cs="宋体"/>
                <w:szCs w:val="21"/>
              </w:rPr>
            </w:pPr>
          </w:p>
        </w:tc>
        <w:tc>
          <w:tcPr>
            <w:tcW w:w="973" w:type="dxa"/>
            <w:tcBorders>
              <w:top w:val="single" w:color="auto" w:sz="4" w:space="0"/>
              <w:left w:val="single" w:color="auto" w:sz="4" w:space="0"/>
              <w:bottom w:val="single" w:color="auto" w:sz="4" w:space="0"/>
              <w:right w:val="single" w:color="auto" w:sz="4" w:space="0"/>
            </w:tcBorders>
            <w:noWrap/>
            <w:vAlign w:val="center"/>
          </w:tcPr>
          <w:p w14:paraId="393CBCD3">
            <w:pPr>
              <w:snapToGrid w:val="0"/>
              <w:jc w:val="center"/>
              <w:rPr>
                <w:rFonts w:ascii="宋体" w:hAnsi="宋体" w:cs="宋体"/>
                <w:szCs w:val="21"/>
              </w:rPr>
            </w:pPr>
            <w:r>
              <w:rPr>
                <w:rFonts w:hint="eastAsia" w:ascii="宋体" w:hAnsi="宋体" w:cs="宋体"/>
                <w:szCs w:val="21"/>
              </w:rPr>
              <w:t>得分</w:t>
            </w:r>
          </w:p>
          <w:p w14:paraId="06C0DB00">
            <w:pPr>
              <w:snapToGrid w:val="0"/>
              <w:jc w:val="center"/>
              <w:rPr>
                <w:rFonts w:ascii="宋体" w:hAnsi="宋体" w:cs="宋体"/>
                <w:szCs w:val="21"/>
              </w:rPr>
            </w:pPr>
            <w:r>
              <w:rPr>
                <w:rFonts w:hint="eastAsia" w:ascii="宋体" w:hAnsi="宋体" w:cs="宋体"/>
                <w:szCs w:val="21"/>
              </w:rPr>
              <w:t>原因</w:t>
            </w:r>
          </w:p>
        </w:tc>
        <w:tc>
          <w:tcPr>
            <w:tcW w:w="2757" w:type="dxa"/>
            <w:gridSpan w:val="2"/>
            <w:tcBorders>
              <w:top w:val="single" w:color="auto" w:sz="4" w:space="0"/>
              <w:left w:val="single" w:color="auto" w:sz="4" w:space="0"/>
              <w:bottom w:val="single" w:color="auto" w:sz="4" w:space="0"/>
              <w:right w:val="single" w:color="auto" w:sz="4" w:space="0"/>
            </w:tcBorders>
            <w:noWrap/>
            <w:vAlign w:val="center"/>
          </w:tcPr>
          <w:p w14:paraId="4FC0E33B">
            <w:pPr>
              <w:snapToGrid w:val="0"/>
              <w:rPr>
                <w:rFonts w:ascii="宋体" w:hAnsi="宋体" w:cs="宋体"/>
                <w:szCs w:val="21"/>
              </w:rPr>
            </w:pPr>
          </w:p>
        </w:tc>
      </w:tr>
      <w:tr w14:paraId="63142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2" w:hRule="atLeast"/>
          <w:jc w:val="center"/>
        </w:trPr>
        <w:tc>
          <w:tcPr>
            <w:tcW w:w="1690" w:type="dxa"/>
            <w:tcBorders>
              <w:top w:val="single" w:color="auto" w:sz="4" w:space="0"/>
              <w:left w:val="single" w:color="auto" w:sz="4" w:space="0"/>
              <w:bottom w:val="single" w:color="auto" w:sz="4" w:space="0"/>
              <w:right w:val="single" w:color="auto" w:sz="4" w:space="0"/>
            </w:tcBorders>
            <w:noWrap/>
            <w:vAlign w:val="center"/>
          </w:tcPr>
          <w:p w14:paraId="2BE55DC0">
            <w:pPr>
              <w:snapToGrid w:val="0"/>
              <w:rPr>
                <w:rFonts w:ascii="宋体" w:hAnsi="宋体" w:cs="宋体"/>
                <w:szCs w:val="21"/>
              </w:rPr>
            </w:pPr>
            <w:r>
              <w:rPr>
                <w:rFonts w:hint="eastAsia" w:ascii="宋体" w:hAnsi="宋体" w:cs="宋体"/>
                <w:szCs w:val="21"/>
              </w:rPr>
              <w:t>其它或建议</w:t>
            </w:r>
          </w:p>
        </w:tc>
        <w:tc>
          <w:tcPr>
            <w:tcW w:w="7162" w:type="dxa"/>
            <w:gridSpan w:val="8"/>
            <w:tcBorders>
              <w:top w:val="single" w:color="auto" w:sz="4" w:space="0"/>
              <w:left w:val="single" w:color="auto" w:sz="4" w:space="0"/>
              <w:bottom w:val="single" w:color="auto" w:sz="4" w:space="0"/>
              <w:right w:val="single" w:color="auto" w:sz="4" w:space="0"/>
            </w:tcBorders>
            <w:noWrap/>
            <w:vAlign w:val="center"/>
          </w:tcPr>
          <w:p w14:paraId="28C40273">
            <w:pPr>
              <w:snapToGrid w:val="0"/>
              <w:rPr>
                <w:rFonts w:ascii="宋体" w:hAnsi="宋体" w:cs="宋体"/>
                <w:szCs w:val="21"/>
              </w:rPr>
            </w:pPr>
          </w:p>
        </w:tc>
      </w:tr>
    </w:tbl>
    <w:p w14:paraId="0228DDCD">
      <w:pPr>
        <w:rPr>
          <w:rFonts w:ascii="宋体" w:hAnsi="宋体" w:cs="宋体"/>
          <w:bCs/>
          <w:szCs w:val="21"/>
        </w:rPr>
      </w:pPr>
      <w:r>
        <w:rPr>
          <w:rFonts w:hint="eastAsia" w:ascii="宋体" w:hAnsi="宋体" w:cs="宋体"/>
          <w:bCs/>
          <w:szCs w:val="21"/>
        </w:rPr>
        <w:br w:type="page"/>
      </w:r>
    </w:p>
    <w:p w14:paraId="0CE9937E">
      <w:pPr>
        <w:tabs>
          <w:tab w:val="left" w:pos="630"/>
        </w:tabs>
        <w:spacing w:line="320" w:lineRule="exact"/>
        <w:jc w:val="left"/>
        <w:rPr>
          <w:rFonts w:ascii="宋体" w:hAnsi="宋体" w:cs="宋体"/>
          <w:bCs/>
          <w:szCs w:val="21"/>
        </w:rPr>
      </w:pPr>
      <w:r>
        <w:rPr>
          <w:rFonts w:hint="eastAsia" w:ascii="宋体" w:hAnsi="宋体" w:cs="宋体"/>
          <w:bCs/>
          <w:szCs w:val="21"/>
        </w:rPr>
        <w:t>附件3</w:t>
      </w:r>
    </w:p>
    <w:p w14:paraId="20E38191">
      <w:pPr>
        <w:tabs>
          <w:tab w:val="left" w:pos="630"/>
        </w:tabs>
        <w:snapToGrid w:val="0"/>
        <w:jc w:val="center"/>
        <w:rPr>
          <w:rFonts w:ascii="宋体" w:hAnsi="宋体" w:cs="宋体"/>
          <w:bCs/>
          <w:szCs w:val="21"/>
        </w:rPr>
      </w:pPr>
      <w:r>
        <w:rPr>
          <w:rFonts w:hint="eastAsia" w:ascii="宋体" w:hAnsi="宋体" w:cs="宋体"/>
          <w:b/>
          <w:sz w:val="36"/>
          <w:szCs w:val="36"/>
        </w:rPr>
        <w:t>服务供应商履约评价表</w:t>
      </w:r>
    </w:p>
    <w:tbl>
      <w:tblPr>
        <w:tblStyle w:val="21"/>
        <w:tblW w:w="9100" w:type="dxa"/>
        <w:jc w:val="center"/>
        <w:tblLayout w:type="autofit"/>
        <w:tblCellMar>
          <w:top w:w="0" w:type="dxa"/>
          <w:left w:w="108" w:type="dxa"/>
          <w:bottom w:w="0" w:type="dxa"/>
          <w:right w:w="108" w:type="dxa"/>
        </w:tblCellMar>
      </w:tblPr>
      <w:tblGrid>
        <w:gridCol w:w="820"/>
        <w:gridCol w:w="860"/>
        <w:gridCol w:w="5845"/>
        <w:gridCol w:w="775"/>
        <w:gridCol w:w="800"/>
      </w:tblGrid>
      <w:tr w14:paraId="31F901F0">
        <w:tblPrEx>
          <w:tblCellMar>
            <w:top w:w="0" w:type="dxa"/>
            <w:left w:w="108" w:type="dxa"/>
            <w:bottom w:w="0" w:type="dxa"/>
            <w:right w:w="108" w:type="dxa"/>
          </w:tblCellMar>
        </w:tblPrEx>
        <w:trPr>
          <w:trHeight w:val="385" w:hRule="atLeast"/>
          <w:jc w:val="center"/>
        </w:trPr>
        <w:tc>
          <w:tcPr>
            <w:tcW w:w="820" w:type="dxa"/>
            <w:tcBorders>
              <w:top w:val="single" w:color="auto" w:sz="8" w:space="0"/>
              <w:left w:val="single" w:color="auto" w:sz="8" w:space="0"/>
              <w:bottom w:val="single" w:color="auto" w:sz="8" w:space="0"/>
              <w:right w:val="single" w:color="auto" w:sz="8" w:space="0"/>
            </w:tcBorders>
            <w:noWrap/>
            <w:vAlign w:val="center"/>
          </w:tcPr>
          <w:p w14:paraId="44993076">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项目</w:t>
            </w:r>
          </w:p>
        </w:tc>
        <w:tc>
          <w:tcPr>
            <w:tcW w:w="860" w:type="dxa"/>
            <w:tcBorders>
              <w:top w:val="single" w:color="auto" w:sz="8" w:space="0"/>
              <w:left w:val="nil"/>
              <w:bottom w:val="single" w:color="auto" w:sz="8" w:space="0"/>
              <w:right w:val="single" w:color="auto" w:sz="8" w:space="0"/>
            </w:tcBorders>
            <w:noWrap/>
            <w:vAlign w:val="center"/>
          </w:tcPr>
          <w:p w14:paraId="70A910AA">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845" w:type="dxa"/>
            <w:tcBorders>
              <w:top w:val="single" w:color="auto" w:sz="8" w:space="0"/>
              <w:left w:val="nil"/>
              <w:bottom w:val="single" w:color="auto" w:sz="8" w:space="0"/>
              <w:right w:val="single" w:color="auto" w:sz="8" w:space="0"/>
            </w:tcBorders>
            <w:noWrap/>
            <w:vAlign w:val="center"/>
          </w:tcPr>
          <w:p w14:paraId="3A0CE027">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考核细则</w:t>
            </w:r>
          </w:p>
        </w:tc>
        <w:tc>
          <w:tcPr>
            <w:tcW w:w="775" w:type="dxa"/>
            <w:tcBorders>
              <w:top w:val="single" w:color="auto" w:sz="8" w:space="0"/>
              <w:left w:val="nil"/>
              <w:bottom w:val="single" w:color="auto" w:sz="8" w:space="0"/>
              <w:right w:val="single" w:color="auto" w:sz="8" w:space="0"/>
            </w:tcBorders>
            <w:noWrap/>
            <w:vAlign w:val="center"/>
          </w:tcPr>
          <w:p w14:paraId="1758780D">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扣分值</w:t>
            </w:r>
          </w:p>
        </w:tc>
        <w:tc>
          <w:tcPr>
            <w:tcW w:w="800" w:type="dxa"/>
            <w:tcBorders>
              <w:top w:val="single" w:color="auto" w:sz="8" w:space="0"/>
              <w:left w:val="nil"/>
              <w:bottom w:val="single" w:color="auto" w:sz="8" w:space="0"/>
              <w:right w:val="single" w:color="auto" w:sz="8" w:space="0"/>
            </w:tcBorders>
            <w:noWrap/>
            <w:vAlign w:val="center"/>
          </w:tcPr>
          <w:p w14:paraId="2FFDDD80">
            <w:pPr>
              <w:widowControl/>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备注</w:t>
            </w:r>
          </w:p>
        </w:tc>
      </w:tr>
      <w:tr w14:paraId="5CF3561C">
        <w:tblPrEx>
          <w:tblCellMar>
            <w:top w:w="0" w:type="dxa"/>
            <w:left w:w="108" w:type="dxa"/>
            <w:bottom w:w="0" w:type="dxa"/>
            <w:right w:w="108" w:type="dxa"/>
          </w:tblCellMar>
        </w:tblPrEx>
        <w:trPr>
          <w:trHeight w:val="442" w:hRule="atLeast"/>
          <w:jc w:val="center"/>
        </w:trPr>
        <w:tc>
          <w:tcPr>
            <w:tcW w:w="820" w:type="dxa"/>
            <w:vMerge w:val="restart"/>
            <w:tcBorders>
              <w:top w:val="nil"/>
              <w:left w:val="single" w:color="auto" w:sz="8" w:space="0"/>
              <w:bottom w:val="single" w:color="000000" w:sz="8" w:space="0"/>
              <w:right w:val="single" w:color="auto" w:sz="8" w:space="0"/>
            </w:tcBorders>
            <w:noWrap/>
            <w:vAlign w:val="center"/>
          </w:tcPr>
          <w:p w14:paraId="4EA1AE3C">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价格</w:t>
            </w:r>
          </w:p>
        </w:tc>
        <w:tc>
          <w:tcPr>
            <w:tcW w:w="860" w:type="dxa"/>
            <w:tcBorders>
              <w:top w:val="nil"/>
              <w:left w:val="nil"/>
              <w:bottom w:val="single" w:color="auto" w:sz="8" w:space="0"/>
              <w:right w:val="single" w:color="auto" w:sz="8" w:space="0"/>
            </w:tcBorders>
            <w:noWrap/>
            <w:vAlign w:val="center"/>
          </w:tcPr>
          <w:p w14:paraId="24380F40">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5845" w:type="dxa"/>
            <w:tcBorders>
              <w:top w:val="nil"/>
              <w:left w:val="nil"/>
              <w:bottom w:val="single" w:color="auto" w:sz="8" w:space="0"/>
              <w:right w:val="single" w:color="auto" w:sz="8" w:space="0"/>
            </w:tcBorders>
            <w:noWrap/>
            <w:vAlign w:val="center"/>
          </w:tcPr>
          <w:p w14:paraId="518B4C40">
            <w:pPr>
              <w:widowControl/>
              <w:spacing w:line="320" w:lineRule="exact"/>
              <w:rPr>
                <w:rFonts w:ascii="宋体" w:hAnsi="宋体" w:cs="宋体"/>
                <w:color w:val="000000"/>
                <w:kern w:val="0"/>
                <w:szCs w:val="21"/>
              </w:rPr>
            </w:pPr>
            <w:r>
              <w:rPr>
                <w:rFonts w:hint="eastAsia" w:ascii="宋体" w:hAnsi="宋体" w:cs="宋体"/>
                <w:color w:val="000000"/>
                <w:kern w:val="0"/>
                <w:szCs w:val="21"/>
              </w:rPr>
              <w:t>未按合同价格服务的，每发现一项次扣5分；</w:t>
            </w:r>
          </w:p>
        </w:tc>
        <w:tc>
          <w:tcPr>
            <w:tcW w:w="775" w:type="dxa"/>
            <w:tcBorders>
              <w:top w:val="nil"/>
              <w:left w:val="nil"/>
              <w:bottom w:val="single" w:color="auto" w:sz="8" w:space="0"/>
              <w:right w:val="single" w:color="auto" w:sz="8" w:space="0"/>
            </w:tcBorders>
            <w:noWrap/>
            <w:vAlign w:val="center"/>
          </w:tcPr>
          <w:p w14:paraId="00562FEA">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800" w:type="dxa"/>
            <w:tcBorders>
              <w:top w:val="nil"/>
              <w:left w:val="nil"/>
              <w:bottom w:val="single" w:color="auto" w:sz="8" w:space="0"/>
              <w:right w:val="single" w:color="auto" w:sz="8" w:space="0"/>
            </w:tcBorders>
            <w:noWrap/>
            <w:vAlign w:val="center"/>
          </w:tcPr>
          <w:p w14:paraId="2E3AD51B">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1A5810DF">
        <w:tblPrEx>
          <w:tblCellMar>
            <w:top w:w="0" w:type="dxa"/>
            <w:left w:w="108" w:type="dxa"/>
            <w:bottom w:w="0" w:type="dxa"/>
            <w:right w:w="108" w:type="dxa"/>
          </w:tblCellMar>
        </w:tblPrEx>
        <w:trPr>
          <w:trHeight w:val="540" w:hRule="atLeast"/>
          <w:jc w:val="center"/>
        </w:trPr>
        <w:tc>
          <w:tcPr>
            <w:tcW w:w="820" w:type="dxa"/>
            <w:vMerge w:val="continue"/>
            <w:tcBorders>
              <w:top w:val="nil"/>
              <w:left w:val="single" w:color="auto" w:sz="8" w:space="0"/>
              <w:bottom w:val="single" w:color="000000" w:sz="8" w:space="0"/>
              <w:right w:val="single" w:color="auto" w:sz="8" w:space="0"/>
            </w:tcBorders>
            <w:noWrap/>
            <w:vAlign w:val="center"/>
          </w:tcPr>
          <w:p w14:paraId="4E99BBA3">
            <w:pPr>
              <w:widowControl/>
              <w:spacing w:line="320" w:lineRule="exact"/>
              <w:jc w:val="left"/>
              <w:rPr>
                <w:rFonts w:ascii="宋体" w:hAnsi="宋体" w:cs="宋体"/>
                <w:color w:val="000000"/>
                <w:kern w:val="0"/>
                <w:szCs w:val="21"/>
              </w:rPr>
            </w:pPr>
          </w:p>
        </w:tc>
        <w:tc>
          <w:tcPr>
            <w:tcW w:w="860" w:type="dxa"/>
            <w:tcBorders>
              <w:top w:val="nil"/>
              <w:left w:val="nil"/>
              <w:bottom w:val="single" w:color="auto" w:sz="8" w:space="0"/>
              <w:right w:val="single" w:color="auto" w:sz="8" w:space="0"/>
            </w:tcBorders>
            <w:noWrap/>
            <w:vAlign w:val="center"/>
          </w:tcPr>
          <w:p w14:paraId="622CCBA3">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5845" w:type="dxa"/>
            <w:tcBorders>
              <w:top w:val="nil"/>
              <w:left w:val="nil"/>
              <w:bottom w:val="single" w:color="auto" w:sz="8" w:space="0"/>
              <w:right w:val="single" w:color="auto" w:sz="8" w:space="0"/>
            </w:tcBorders>
            <w:noWrap/>
            <w:vAlign w:val="center"/>
          </w:tcPr>
          <w:p w14:paraId="306F15CC">
            <w:pPr>
              <w:widowControl/>
              <w:spacing w:line="320" w:lineRule="exact"/>
              <w:rPr>
                <w:rFonts w:ascii="宋体" w:hAnsi="宋体" w:cs="宋体"/>
                <w:color w:val="000000"/>
                <w:kern w:val="0"/>
                <w:szCs w:val="21"/>
              </w:rPr>
            </w:pPr>
            <w:r>
              <w:rPr>
                <w:rFonts w:hint="eastAsia" w:ascii="宋体" w:hAnsi="宋体" w:cs="宋体"/>
                <w:color w:val="000000"/>
                <w:kern w:val="0"/>
                <w:szCs w:val="21"/>
              </w:rPr>
              <w:t>未按合同约定时限，根据市场价格变化调整价格的，每次扣5分；</w:t>
            </w:r>
          </w:p>
        </w:tc>
        <w:tc>
          <w:tcPr>
            <w:tcW w:w="775" w:type="dxa"/>
            <w:tcBorders>
              <w:top w:val="nil"/>
              <w:left w:val="nil"/>
              <w:bottom w:val="single" w:color="auto" w:sz="8" w:space="0"/>
              <w:right w:val="single" w:color="auto" w:sz="8" w:space="0"/>
            </w:tcBorders>
            <w:noWrap/>
            <w:vAlign w:val="center"/>
          </w:tcPr>
          <w:p w14:paraId="187A9DE1">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800" w:type="dxa"/>
            <w:tcBorders>
              <w:top w:val="nil"/>
              <w:left w:val="nil"/>
              <w:bottom w:val="single" w:color="auto" w:sz="8" w:space="0"/>
              <w:right w:val="single" w:color="auto" w:sz="8" w:space="0"/>
            </w:tcBorders>
            <w:noWrap/>
            <w:vAlign w:val="center"/>
          </w:tcPr>
          <w:p w14:paraId="10DBDBD6">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29FCBE86">
        <w:tblPrEx>
          <w:tblCellMar>
            <w:top w:w="0" w:type="dxa"/>
            <w:left w:w="108" w:type="dxa"/>
            <w:bottom w:w="0" w:type="dxa"/>
            <w:right w:w="108" w:type="dxa"/>
          </w:tblCellMar>
        </w:tblPrEx>
        <w:trPr>
          <w:trHeight w:val="480" w:hRule="atLeast"/>
          <w:jc w:val="center"/>
        </w:trPr>
        <w:tc>
          <w:tcPr>
            <w:tcW w:w="820" w:type="dxa"/>
            <w:vMerge w:val="continue"/>
            <w:tcBorders>
              <w:top w:val="nil"/>
              <w:left w:val="single" w:color="auto" w:sz="8" w:space="0"/>
              <w:bottom w:val="single" w:color="000000" w:sz="8" w:space="0"/>
              <w:right w:val="single" w:color="auto" w:sz="8" w:space="0"/>
            </w:tcBorders>
            <w:noWrap/>
            <w:vAlign w:val="center"/>
          </w:tcPr>
          <w:p w14:paraId="64AC88BF">
            <w:pPr>
              <w:widowControl/>
              <w:spacing w:line="320" w:lineRule="exact"/>
              <w:jc w:val="left"/>
              <w:rPr>
                <w:rFonts w:ascii="宋体" w:hAnsi="宋体" w:cs="宋体"/>
                <w:color w:val="000000"/>
                <w:kern w:val="0"/>
                <w:szCs w:val="21"/>
              </w:rPr>
            </w:pPr>
          </w:p>
        </w:tc>
        <w:tc>
          <w:tcPr>
            <w:tcW w:w="860" w:type="dxa"/>
            <w:tcBorders>
              <w:top w:val="nil"/>
              <w:left w:val="nil"/>
              <w:bottom w:val="single" w:color="auto" w:sz="8" w:space="0"/>
              <w:right w:val="single" w:color="auto" w:sz="8" w:space="0"/>
            </w:tcBorders>
            <w:noWrap/>
            <w:vAlign w:val="center"/>
          </w:tcPr>
          <w:p w14:paraId="066AE8AD">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5845" w:type="dxa"/>
            <w:tcBorders>
              <w:top w:val="nil"/>
              <w:left w:val="nil"/>
              <w:bottom w:val="single" w:color="auto" w:sz="8" w:space="0"/>
              <w:right w:val="single" w:color="auto" w:sz="8" w:space="0"/>
            </w:tcBorders>
            <w:noWrap/>
            <w:vAlign w:val="center"/>
          </w:tcPr>
          <w:p w14:paraId="690ADE06">
            <w:pPr>
              <w:widowControl/>
              <w:spacing w:line="320" w:lineRule="exact"/>
              <w:rPr>
                <w:rFonts w:ascii="宋体" w:hAnsi="宋体" w:cs="宋体"/>
                <w:color w:val="000000"/>
                <w:kern w:val="0"/>
                <w:szCs w:val="21"/>
              </w:rPr>
            </w:pPr>
            <w:r>
              <w:rPr>
                <w:rFonts w:hint="eastAsia" w:ascii="宋体" w:hAnsi="宋体" w:cs="宋体"/>
                <w:color w:val="000000"/>
                <w:kern w:val="0"/>
                <w:szCs w:val="21"/>
              </w:rPr>
              <w:t>提供虚假参考报价的，扣15分；</w:t>
            </w:r>
          </w:p>
        </w:tc>
        <w:tc>
          <w:tcPr>
            <w:tcW w:w="775" w:type="dxa"/>
            <w:tcBorders>
              <w:top w:val="nil"/>
              <w:left w:val="nil"/>
              <w:bottom w:val="single" w:color="auto" w:sz="8" w:space="0"/>
              <w:right w:val="single" w:color="auto" w:sz="8" w:space="0"/>
            </w:tcBorders>
            <w:noWrap/>
            <w:vAlign w:val="center"/>
          </w:tcPr>
          <w:p w14:paraId="6C74A9EF">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800" w:type="dxa"/>
            <w:tcBorders>
              <w:top w:val="nil"/>
              <w:left w:val="nil"/>
              <w:bottom w:val="single" w:color="auto" w:sz="8" w:space="0"/>
              <w:right w:val="single" w:color="auto" w:sz="8" w:space="0"/>
            </w:tcBorders>
            <w:noWrap/>
            <w:vAlign w:val="center"/>
          </w:tcPr>
          <w:p w14:paraId="4D8FBD9B">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2F12E78A">
        <w:tblPrEx>
          <w:tblCellMar>
            <w:top w:w="0" w:type="dxa"/>
            <w:left w:w="108" w:type="dxa"/>
            <w:bottom w:w="0" w:type="dxa"/>
            <w:right w:w="108" w:type="dxa"/>
          </w:tblCellMar>
        </w:tblPrEx>
        <w:trPr>
          <w:trHeight w:val="480" w:hRule="atLeast"/>
          <w:jc w:val="center"/>
        </w:trPr>
        <w:tc>
          <w:tcPr>
            <w:tcW w:w="820" w:type="dxa"/>
            <w:vMerge w:val="restart"/>
            <w:tcBorders>
              <w:top w:val="nil"/>
              <w:left w:val="single" w:color="auto" w:sz="8" w:space="0"/>
              <w:bottom w:val="single" w:color="000000" w:sz="8" w:space="0"/>
              <w:right w:val="single" w:color="auto" w:sz="8" w:space="0"/>
            </w:tcBorders>
            <w:noWrap/>
            <w:vAlign w:val="center"/>
          </w:tcPr>
          <w:p w14:paraId="2D80FC51">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交货</w:t>
            </w:r>
          </w:p>
        </w:tc>
        <w:tc>
          <w:tcPr>
            <w:tcW w:w="860" w:type="dxa"/>
            <w:tcBorders>
              <w:top w:val="nil"/>
              <w:left w:val="nil"/>
              <w:bottom w:val="single" w:color="auto" w:sz="8" w:space="0"/>
              <w:right w:val="single" w:color="auto" w:sz="8" w:space="0"/>
            </w:tcBorders>
            <w:noWrap/>
            <w:vAlign w:val="center"/>
          </w:tcPr>
          <w:p w14:paraId="45BF4803">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5845" w:type="dxa"/>
            <w:tcBorders>
              <w:top w:val="nil"/>
              <w:left w:val="nil"/>
              <w:bottom w:val="single" w:color="auto" w:sz="8" w:space="0"/>
              <w:right w:val="single" w:color="auto" w:sz="8" w:space="0"/>
            </w:tcBorders>
            <w:noWrap/>
            <w:vAlign w:val="center"/>
          </w:tcPr>
          <w:p w14:paraId="5814D56B">
            <w:pPr>
              <w:widowControl/>
              <w:spacing w:line="320" w:lineRule="exact"/>
              <w:rPr>
                <w:rFonts w:ascii="宋体" w:hAnsi="宋体" w:cs="宋体"/>
                <w:color w:val="000000"/>
                <w:kern w:val="0"/>
                <w:szCs w:val="21"/>
              </w:rPr>
            </w:pPr>
            <w:r>
              <w:rPr>
                <w:rFonts w:hint="eastAsia" w:ascii="宋体" w:hAnsi="宋体" w:cs="宋体"/>
                <w:color w:val="000000"/>
                <w:kern w:val="0"/>
                <w:szCs w:val="21"/>
              </w:rPr>
              <w:t>未按招标人采购计划数量、时间服务的，每发生一次扣5分；</w:t>
            </w:r>
          </w:p>
        </w:tc>
        <w:tc>
          <w:tcPr>
            <w:tcW w:w="775" w:type="dxa"/>
            <w:tcBorders>
              <w:top w:val="nil"/>
              <w:left w:val="nil"/>
              <w:bottom w:val="single" w:color="auto" w:sz="8" w:space="0"/>
              <w:right w:val="single" w:color="auto" w:sz="8" w:space="0"/>
            </w:tcBorders>
            <w:noWrap/>
            <w:vAlign w:val="center"/>
          </w:tcPr>
          <w:p w14:paraId="3D7F23AC">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800" w:type="dxa"/>
            <w:tcBorders>
              <w:top w:val="nil"/>
              <w:left w:val="nil"/>
              <w:bottom w:val="single" w:color="auto" w:sz="8" w:space="0"/>
              <w:right w:val="single" w:color="auto" w:sz="8" w:space="0"/>
            </w:tcBorders>
            <w:noWrap/>
            <w:vAlign w:val="center"/>
          </w:tcPr>
          <w:p w14:paraId="45B299B2">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3DB1FC35">
        <w:tblPrEx>
          <w:tblCellMar>
            <w:top w:w="0" w:type="dxa"/>
            <w:left w:w="108" w:type="dxa"/>
            <w:bottom w:w="0" w:type="dxa"/>
            <w:right w:w="108" w:type="dxa"/>
          </w:tblCellMar>
        </w:tblPrEx>
        <w:trPr>
          <w:trHeight w:val="480" w:hRule="atLeast"/>
          <w:jc w:val="center"/>
        </w:trPr>
        <w:tc>
          <w:tcPr>
            <w:tcW w:w="820" w:type="dxa"/>
            <w:vMerge w:val="continue"/>
            <w:tcBorders>
              <w:top w:val="nil"/>
              <w:left w:val="single" w:color="auto" w:sz="8" w:space="0"/>
              <w:bottom w:val="single" w:color="000000" w:sz="8" w:space="0"/>
              <w:right w:val="single" w:color="auto" w:sz="8" w:space="0"/>
            </w:tcBorders>
            <w:noWrap/>
            <w:vAlign w:val="center"/>
          </w:tcPr>
          <w:p w14:paraId="564A3B69">
            <w:pPr>
              <w:widowControl/>
              <w:spacing w:line="320" w:lineRule="exact"/>
              <w:jc w:val="left"/>
              <w:rPr>
                <w:rFonts w:ascii="宋体" w:hAnsi="宋体" w:cs="宋体"/>
                <w:color w:val="000000"/>
                <w:kern w:val="0"/>
                <w:szCs w:val="21"/>
              </w:rPr>
            </w:pPr>
          </w:p>
        </w:tc>
        <w:tc>
          <w:tcPr>
            <w:tcW w:w="860" w:type="dxa"/>
            <w:tcBorders>
              <w:top w:val="nil"/>
              <w:left w:val="nil"/>
              <w:bottom w:val="single" w:color="auto" w:sz="8" w:space="0"/>
              <w:right w:val="single" w:color="auto" w:sz="8" w:space="0"/>
            </w:tcBorders>
            <w:noWrap/>
            <w:vAlign w:val="center"/>
          </w:tcPr>
          <w:p w14:paraId="1D4747FB">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5845" w:type="dxa"/>
            <w:tcBorders>
              <w:top w:val="nil"/>
              <w:left w:val="nil"/>
              <w:bottom w:val="single" w:color="auto" w:sz="8" w:space="0"/>
              <w:right w:val="single" w:color="auto" w:sz="8" w:space="0"/>
            </w:tcBorders>
            <w:noWrap/>
            <w:vAlign w:val="center"/>
          </w:tcPr>
          <w:p w14:paraId="76B404EF">
            <w:pPr>
              <w:widowControl/>
              <w:spacing w:line="320" w:lineRule="exact"/>
              <w:rPr>
                <w:rFonts w:ascii="宋体" w:hAnsi="宋体" w:cs="宋体"/>
                <w:color w:val="000000"/>
                <w:kern w:val="0"/>
                <w:szCs w:val="21"/>
              </w:rPr>
            </w:pPr>
            <w:r>
              <w:rPr>
                <w:rFonts w:hint="eastAsia" w:ascii="宋体" w:hAnsi="宋体" w:cs="宋体"/>
                <w:color w:val="000000"/>
                <w:kern w:val="0"/>
                <w:szCs w:val="21"/>
              </w:rPr>
              <w:t>未按招标人指定秩序卸货的，每次扣2分；</w:t>
            </w:r>
          </w:p>
        </w:tc>
        <w:tc>
          <w:tcPr>
            <w:tcW w:w="775" w:type="dxa"/>
            <w:tcBorders>
              <w:top w:val="nil"/>
              <w:left w:val="nil"/>
              <w:bottom w:val="single" w:color="auto" w:sz="8" w:space="0"/>
              <w:right w:val="single" w:color="auto" w:sz="8" w:space="0"/>
            </w:tcBorders>
            <w:noWrap/>
            <w:vAlign w:val="center"/>
          </w:tcPr>
          <w:p w14:paraId="24B249E3">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800" w:type="dxa"/>
            <w:tcBorders>
              <w:top w:val="nil"/>
              <w:left w:val="nil"/>
              <w:bottom w:val="single" w:color="auto" w:sz="8" w:space="0"/>
              <w:right w:val="single" w:color="auto" w:sz="8" w:space="0"/>
            </w:tcBorders>
            <w:noWrap/>
            <w:vAlign w:val="center"/>
          </w:tcPr>
          <w:p w14:paraId="62B77C05">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2E28F9FF">
        <w:tblPrEx>
          <w:tblCellMar>
            <w:top w:w="0" w:type="dxa"/>
            <w:left w:w="108" w:type="dxa"/>
            <w:bottom w:w="0" w:type="dxa"/>
            <w:right w:w="108" w:type="dxa"/>
          </w:tblCellMar>
        </w:tblPrEx>
        <w:trPr>
          <w:trHeight w:val="480" w:hRule="atLeast"/>
          <w:jc w:val="center"/>
        </w:trPr>
        <w:tc>
          <w:tcPr>
            <w:tcW w:w="820" w:type="dxa"/>
            <w:vMerge w:val="continue"/>
            <w:tcBorders>
              <w:top w:val="nil"/>
              <w:left w:val="single" w:color="auto" w:sz="8" w:space="0"/>
              <w:bottom w:val="single" w:color="000000" w:sz="8" w:space="0"/>
              <w:right w:val="single" w:color="auto" w:sz="8" w:space="0"/>
            </w:tcBorders>
            <w:noWrap/>
            <w:vAlign w:val="center"/>
          </w:tcPr>
          <w:p w14:paraId="14E0655A">
            <w:pPr>
              <w:widowControl/>
              <w:spacing w:line="320" w:lineRule="exact"/>
              <w:jc w:val="left"/>
              <w:rPr>
                <w:rFonts w:ascii="宋体" w:hAnsi="宋体" w:cs="宋体"/>
                <w:color w:val="000000"/>
                <w:kern w:val="0"/>
                <w:szCs w:val="21"/>
              </w:rPr>
            </w:pPr>
          </w:p>
        </w:tc>
        <w:tc>
          <w:tcPr>
            <w:tcW w:w="860" w:type="dxa"/>
            <w:tcBorders>
              <w:top w:val="nil"/>
              <w:left w:val="nil"/>
              <w:bottom w:val="single" w:color="auto" w:sz="8" w:space="0"/>
              <w:right w:val="single" w:color="auto" w:sz="8" w:space="0"/>
            </w:tcBorders>
            <w:noWrap/>
            <w:vAlign w:val="center"/>
          </w:tcPr>
          <w:p w14:paraId="4525BD2E">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5845" w:type="dxa"/>
            <w:tcBorders>
              <w:top w:val="nil"/>
              <w:left w:val="nil"/>
              <w:bottom w:val="single" w:color="auto" w:sz="8" w:space="0"/>
              <w:right w:val="single" w:color="auto" w:sz="8" w:space="0"/>
            </w:tcBorders>
            <w:noWrap/>
            <w:vAlign w:val="center"/>
          </w:tcPr>
          <w:p w14:paraId="1A9FD6AA">
            <w:pPr>
              <w:widowControl/>
              <w:spacing w:line="320" w:lineRule="exact"/>
              <w:rPr>
                <w:rFonts w:ascii="宋体" w:hAnsi="宋体" w:cs="宋体"/>
                <w:color w:val="000000"/>
                <w:kern w:val="0"/>
                <w:szCs w:val="21"/>
              </w:rPr>
            </w:pPr>
            <w:r>
              <w:rPr>
                <w:rFonts w:hint="eastAsia" w:ascii="宋体" w:hAnsi="宋体" w:cs="宋体"/>
                <w:color w:val="000000"/>
                <w:kern w:val="0"/>
                <w:szCs w:val="21"/>
              </w:rPr>
              <w:t>未及时按要求随货提供相关票证的，每次扣2分；</w:t>
            </w:r>
          </w:p>
        </w:tc>
        <w:tc>
          <w:tcPr>
            <w:tcW w:w="775" w:type="dxa"/>
            <w:tcBorders>
              <w:top w:val="nil"/>
              <w:left w:val="nil"/>
              <w:bottom w:val="single" w:color="auto" w:sz="8" w:space="0"/>
              <w:right w:val="single" w:color="auto" w:sz="8" w:space="0"/>
            </w:tcBorders>
            <w:noWrap/>
            <w:vAlign w:val="center"/>
          </w:tcPr>
          <w:p w14:paraId="7BB9B371">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800" w:type="dxa"/>
            <w:tcBorders>
              <w:top w:val="nil"/>
              <w:left w:val="nil"/>
              <w:bottom w:val="single" w:color="auto" w:sz="8" w:space="0"/>
              <w:right w:val="single" w:color="auto" w:sz="8" w:space="0"/>
            </w:tcBorders>
            <w:noWrap/>
            <w:vAlign w:val="center"/>
          </w:tcPr>
          <w:p w14:paraId="2CA62D41">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1BBF84E5">
        <w:tblPrEx>
          <w:tblCellMar>
            <w:top w:w="0" w:type="dxa"/>
            <w:left w:w="108" w:type="dxa"/>
            <w:bottom w:w="0" w:type="dxa"/>
            <w:right w:w="108" w:type="dxa"/>
          </w:tblCellMar>
        </w:tblPrEx>
        <w:trPr>
          <w:trHeight w:val="480" w:hRule="atLeast"/>
          <w:jc w:val="center"/>
        </w:trPr>
        <w:tc>
          <w:tcPr>
            <w:tcW w:w="820" w:type="dxa"/>
            <w:vMerge w:val="continue"/>
            <w:tcBorders>
              <w:top w:val="nil"/>
              <w:left w:val="single" w:color="auto" w:sz="8" w:space="0"/>
              <w:bottom w:val="single" w:color="000000" w:sz="8" w:space="0"/>
              <w:right w:val="single" w:color="auto" w:sz="8" w:space="0"/>
            </w:tcBorders>
            <w:noWrap/>
            <w:vAlign w:val="center"/>
          </w:tcPr>
          <w:p w14:paraId="74322E7E">
            <w:pPr>
              <w:widowControl/>
              <w:spacing w:line="320" w:lineRule="exact"/>
              <w:jc w:val="left"/>
              <w:rPr>
                <w:rFonts w:ascii="宋体" w:hAnsi="宋体" w:cs="宋体"/>
                <w:color w:val="000000"/>
                <w:kern w:val="0"/>
                <w:szCs w:val="21"/>
              </w:rPr>
            </w:pPr>
          </w:p>
        </w:tc>
        <w:tc>
          <w:tcPr>
            <w:tcW w:w="860" w:type="dxa"/>
            <w:tcBorders>
              <w:top w:val="nil"/>
              <w:left w:val="nil"/>
              <w:bottom w:val="single" w:color="auto" w:sz="8" w:space="0"/>
              <w:right w:val="single" w:color="auto" w:sz="8" w:space="0"/>
            </w:tcBorders>
            <w:noWrap/>
            <w:vAlign w:val="center"/>
          </w:tcPr>
          <w:p w14:paraId="179DDBA5">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7</w:t>
            </w:r>
          </w:p>
        </w:tc>
        <w:tc>
          <w:tcPr>
            <w:tcW w:w="5845" w:type="dxa"/>
            <w:tcBorders>
              <w:top w:val="nil"/>
              <w:left w:val="nil"/>
              <w:bottom w:val="single" w:color="auto" w:sz="8" w:space="0"/>
              <w:right w:val="single" w:color="auto" w:sz="8" w:space="0"/>
            </w:tcBorders>
            <w:noWrap/>
            <w:vAlign w:val="center"/>
          </w:tcPr>
          <w:p w14:paraId="0C2281CD">
            <w:pPr>
              <w:widowControl/>
              <w:spacing w:line="320" w:lineRule="exact"/>
              <w:rPr>
                <w:rFonts w:ascii="宋体" w:hAnsi="宋体" w:cs="宋体"/>
                <w:color w:val="000000"/>
                <w:kern w:val="0"/>
                <w:szCs w:val="21"/>
              </w:rPr>
            </w:pPr>
            <w:r>
              <w:rPr>
                <w:rFonts w:hint="eastAsia" w:ascii="宋体" w:hAnsi="宋体" w:cs="宋体"/>
                <w:color w:val="000000"/>
                <w:kern w:val="0"/>
                <w:szCs w:val="21"/>
              </w:rPr>
              <w:t>提供虚假检验报告等相关票证的，每次扣10分；</w:t>
            </w:r>
          </w:p>
        </w:tc>
        <w:tc>
          <w:tcPr>
            <w:tcW w:w="775" w:type="dxa"/>
            <w:tcBorders>
              <w:top w:val="nil"/>
              <w:left w:val="nil"/>
              <w:bottom w:val="single" w:color="auto" w:sz="8" w:space="0"/>
              <w:right w:val="single" w:color="auto" w:sz="8" w:space="0"/>
            </w:tcBorders>
            <w:noWrap/>
            <w:vAlign w:val="center"/>
          </w:tcPr>
          <w:p w14:paraId="015AC00F">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800" w:type="dxa"/>
            <w:tcBorders>
              <w:top w:val="nil"/>
              <w:left w:val="nil"/>
              <w:bottom w:val="single" w:color="auto" w:sz="8" w:space="0"/>
              <w:right w:val="single" w:color="auto" w:sz="8" w:space="0"/>
            </w:tcBorders>
            <w:noWrap/>
            <w:vAlign w:val="center"/>
          </w:tcPr>
          <w:p w14:paraId="2E56964E">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36D7DE0D">
        <w:tblPrEx>
          <w:tblCellMar>
            <w:top w:w="0" w:type="dxa"/>
            <w:left w:w="108" w:type="dxa"/>
            <w:bottom w:w="0" w:type="dxa"/>
            <w:right w:w="108" w:type="dxa"/>
          </w:tblCellMar>
        </w:tblPrEx>
        <w:trPr>
          <w:trHeight w:val="480" w:hRule="atLeast"/>
          <w:jc w:val="center"/>
        </w:trPr>
        <w:tc>
          <w:tcPr>
            <w:tcW w:w="820" w:type="dxa"/>
            <w:vMerge w:val="continue"/>
            <w:tcBorders>
              <w:top w:val="nil"/>
              <w:left w:val="single" w:color="auto" w:sz="8" w:space="0"/>
              <w:bottom w:val="single" w:color="000000" w:sz="8" w:space="0"/>
              <w:right w:val="single" w:color="auto" w:sz="8" w:space="0"/>
            </w:tcBorders>
            <w:noWrap/>
            <w:vAlign w:val="center"/>
          </w:tcPr>
          <w:p w14:paraId="47264755">
            <w:pPr>
              <w:widowControl/>
              <w:spacing w:line="320" w:lineRule="exact"/>
              <w:jc w:val="left"/>
              <w:rPr>
                <w:rFonts w:ascii="宋体" w:hAnsi="宋体" w:cs="宋体"/>
                <w:color w:val="000000"/>
                <w:kern w:val="0"/>
                <w:szCs w:val="21"/>
              </w:rPr>
            </w:pPr>
          </w:p>
        </w:tc>
        <w:tc>
          <w:tcPr>
            <w:tcW w:w="860" w:type="dxa"/>
            <w:tcBorders>
              <w:top w:val="nil"/>
              <w:left w:val="nil"/>
              <w:bottom w:val="single" w:color="auto" w:sz="8" w:space="0"/>
              <w:right w:val="single" w:color="auto" w:sz="8" w:space="0"/>
            </w:tcBorders>
            <w:noWrap/>
            <w:vAlign w:val="center"/>
          </w:tcPr>
          <w:p w14:paraId="5D66262F">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5845" w:type="dxa"/>
            <w:tcBorders>
              <w:top w:val="nil"/>
              <w:left w:val="nil"/>
              <w:bottom w:val="single" w:color="auto" w:sz="8" w:space="0"/>
              <w:right w:val="single" w:color="auto" w:sz="8" w:space="0"/>
            </w:tcBorders>
            <w:noWrap/>
            <w:vAlign w:val="center"/>
          </w:tcPr>
          <w:p w14:paraId="2841CECA">
            <w:pPr>
              <w:widowControl/>
              <w:spacing w:line="320" w:lineRule="exact"/>
              <w:rPr>
                <w:rFonts w:ascii="宋体" w:hAnsi="宋体" w:cs="宋体"/>
                <w:color w:val="000000"/>
                <w:kern w:val="0"/>
                <w:szCs w:val="21"/>
              </w:rPr>
            </w:pPr>
            <w:r>
              <w:rPr>
                <w:rFonts w:hint="eastAsia" w:ascii="宋体" w:hAnsi="宋体" w:cs="宋体"/>
                <w:color w:val="000000"/>
                <w:kern w:val="0"/>
                <w:szCs w:val="21"/>
              </w:rPr>
              <w:t>发生退货情况，造成招标人宿舍无法正常运转的，每次扣15分；</w:t>
            </w:r>
          </w:p>
        </w:tc>
        <w:tc>
          <w:tcPr>
            <w:tcW w:w="775" w:type="dxa"/>
            <w:tcBorders>
              <w:top w:val="nil"/>
              <w:left w:val="nil"/>
              <w:bottom w:val="single" w:color="auto" w:sz="8" w:space="0"/>
              <w:right w:val="single" w:color="auto" w:sz="8" w:space="0"/>
            </w:tcBorders>
            <w:noWrap/>
            <w:vAlign w:val="center"/>
          </w:tcPr>
          <w:p w14:paraId="79FFF92B">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800" w:type="dxa"/>
            <w:tcBorders>
              <w:top w:val="nil"/>
              <w:left w:val="nil"/>
              <w:bottom w:val="single" w:color="auto" w:sz="8" w:space="0"/>
              <w:right w:val="single" w:color="auto" w:sz="8" w:space="0"/>
            </w:tcBorders>
            <w:noWrap/>
            <w:vAlign w:val="center"/>
          </w:tcPr>
          <w:p w14:paraId="32268E24">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3BC1C975">
        <w:tblPrEx>
          <w:tblCellMar>
            <w:top w:w="0" w:type="dxa"/>
            <w:left w:w="108" w:type="dxa"/>
            <w:bottom w:w="0" w:type="dxa"/>
            <w:right w:w="108" w:type="dxa"/>
          </w:tblCellMar>
        </w:tblPrEx>
        <w:trPr>
          <w:trHeight w:val="480" w:hRule="atLeast"/>
          <w:jc w:val="center"/>
        </w:trPr>
        <w:tc>
          <w:tcPr>
            <w:tcW w:w="820" w:type="dxa"/>
            <w:vMerge w:val="restart"/>
            <w:tcBorders>
              <w:top w:val="nil"/>
              <w:left w:val="single" w:color="auto" w:sz="8" w:space="0"/>
              <w:bottom w:val="single" w:color="000000" w:sz="8" w:space="0"/>
              <w:right w:val="single" w:color="auto" w:sz="8" w:space="0"/>
            </w:tcBorders>
            <w:noWrap/>
            <w:vAlign w:val="center"/>
          </w:tcPr>
          <w:p w14:paraId="6A6BF401">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质量</w:t>
            </w:r>
          </w:p>
        </w:tc>
        <w:tc>
          <w:tcPr>
            <w:tcW w:w="860" w:type="dxa"/>
            <w:tcBorders>
              <w:top w:val="nil"/>
              <w:left w:val="nil"/>
              <w:bottom w:val="single" w:color="auto" w:sz="8" w:space="0"/>
              <w:right w:val="single" w:color="auto" w:sz="8" w:space="0"/>
            </w:tcBorders>
            <w:noWrap/>
            <w:vAlign w:val="center"/>
          </w:tcPr>
          <w:p w14:paraId="392A2E3A">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9</w:t>
            </w:r>
          </w:p>
        </w:tc>
        <w:tc>
          <w:tcPr>
            <w:tcW w:w="5845" w:type="dxa"/>
            <w:tcBorders>
              <w:top w:val="nil"/>
              <w:left w:val="nil"/>
              <w:bottom w:val="single" w:color="auto" w:sz="8" w:space="0"/>
              <w:right w:val="single" w:color="auto" w:sz="8" w:space="0"/>
            </w:tcBorders>
            <w:noWrap/>
            <w:vAlign w:val="center"/>
          </w:tcPr>
          <w:p w14:paraId="676908A2">
            <w:pPr>
              <w:widowControl/>
              <w:spacing w:line="320" w:lineRule="exact"/>
              <w:rPr>
                <w:rFonts w:ascii="宋体" w:hAnsi="宋体" w:cs="宋体"/>
                <w:color w:val="000000"/>
                <w:kern w:val="0"/>
                <w:szCs w:val="21"/>
              </w:rPr>
            </w:pPr>
            <w:r>
              <w:rPr>
                <w:rFonts w:hint="eastAsia" w:ascii="宋体" w:hAnsi="宋体" w:cs="宋体"/>
                <w:color w:val="000000"/>
                <w:kern w:val="0"/>
                <w:szCs w:val="21"/>
              </w:rPr>
              <w:t>质量不合格，每拒收一批次扣5分；</w:t>
            </w:r>
          </w:p>
        </w:tc>
        <w:tc>
          <w:tcPr>
            <w:tcW w:w="775" w:type="dxa"/>
            <w:tcBorders>
              <w:top w:val="nil"/>
              <w:left w:val="nil"/>
              <w:bottom w:val="single" w:color="auto" w:sz="8" w:space="0"/>
              <w:right w:val="single" w:color="auto" w:sz="8" w:space="0"/>
            </w:tcBorders>
            <w:noWrap/>
            <w:vAlign w:val="center"/>
          </w:tcPr>
          <w:p w14:paraId="20F650B5">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800" w:type="dxa"/>
            <w:tcBorders>
              <w:top w:val="nil"/>
              <w:left w:val="nil"/>
              <w:bottom w:val="single" w:color="auto" w:sz="8" w:space="0"/>
              <w:right w:val="single" w:color="auto" w:sz="8" w:space="0"/>
            </w:tcBorders>
            <w:noWrap/>
            <w:vAlign w:val="center"/>
          </w:tcPr>
          <w:p w14:paraId="2317B940">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163D8D28">
        <w:tblPrEx>
          <w:tblCellMar>
            <w:top w:w="0" w:type="dxa"/>
            <w:left w:w="108" w:type="dxa"/>
            <w:bottom w:w="0" w:type="dxa"/>
            <w:right w:w="108" w:type="dxa"/>
          </w:tblCellMar>
        </w:tblPrEx>
        <w:trPr>
          <w:trHeight w:val="480" w:hRule="atLeast"/>
          <w:jc w:val="center"/>
        </w:trPr>
        <w:tc>
          <w:tcPr>
            <w:tcW w:w="820" w:type="dxa"/>
            <w:vMerge w:val="continue"/>
            <w:tcBorders>
              <w:top w:val="nil"/>
              <w:left w:val="single" w:color="auto" w:sz="8" w:space="0"/>
              <w:bottom w:val="single" w:color="000000" w:sz="8" w:space="0"/>
              <w:right w:val="single" w:color="auto" w:sz="8" w:space="0"/>
            </w:tcBorders>
            <w:noWrap/>
            <w:vAlign w:val="center"/>
          </w:tcPr>
          <w:p w14:paraId="27329AB4">
            <w:pPr>
              <w:widowControl/>
              <w:spacing w:line="320" w:lineRule="exact"/>
              <w:jc w:val="left"/>
              <w:rPr>
                <w:rFonts w:ascii="宋体" w:hAnsi="宋体" w:cs="宋体"/>
                <w:color w:val="000000"/>
                <w:kern w:val="0"/>
                <w:szCs w:val="21"/>
              </w:rPr>
            </w:pPr>
          </w:p>
        </w:tc>
        <w:tc>
          <w:tcPr>
            <w:tcW w:w="860" w:type="dxa"/>
            <w:tcBorders>
              <w:top w:val="nil"/>
              <w:left w:val="nil"/>
              <w:bottom w:val="single" w:color="auto" w:sz="8" w:space="0"/>
              <w:right w:val="single" w:color="auto" w:sz="8" w:space="0"/>
            </w:tcBorders>
            <w:noWrap/>
            <w:vAlign w:val="center"/>
          </w:tcPr>
          <w:p w14:paraId="1531C80E">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5845" w:type="dxa"/>
            <w:tcBorders>
              <w:top w:val="nil"/>
              <w:left w:val="nil"/>
              <w:bottom w:val="single" w:color="auto" w:sz="8" w:space="0"/>
              <w:right w:val="single" w:color="auto" w:sz="8" w:space="0"/>
            </w:tcBorders>
            <w:noWrap/>
            <w:vAlign w:val="center"/>
          </w:tcPr>
          <w:p w14:paraId="5D78C349">
            <w:pPr>
              <w:widowControl/>
              <w:spacing w:line="320" w:lineRule="exact"/>
              <w:rPr>
                <w:rFonts w:ascii="宋体" w:hAnsi="宋体" w:cs="宋体"/>
                <w:color w:val="000000"/>
                <w:kern w:val="0"/>
                <w:szCs w:val="21"/>
              </w:rPr>
            </w:pPr>
            <w:r>
              <w:rPr>
                <w:rFonts w:hint="eastAsia" w:ascii="宋体" w:hAnsi="宋体" w:cs="宋体"/>
                <w:color w:val="000000"/>
                <w:kern w:val="0"/>
                <w:szCs w:val="21"/>
              </w:rPr>
              <w:t>一月内清洗服务三次（含本数）以上发现质量不合格产品的，扣20分；</w:t>
            </w:r>
          </w:p>
        </w:tc>
        <w:tc>
          <w:tcPr>
            <w:tcW w:w="775" w:type="dxa"/>
            <w:tcBorders>
              <w:top w:val="nil"/>
              <w:left w:val="nil"/>
              <w:bottom w:val="single" w:color="auto" w:sz="8" w:space="0"/>
              <w:right w:val="single" w:color="auto" w:sz="8" w:space="0"/>
            </w:tcBorders>
            <w:noWrap/>
            <w:vAlign w:val="center"/>
          </w:tcPr>
          <w:p w14:paraId="5FCC95CF">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800" w:type="dxa"/>
            <w:tcBorders>
              <w:top w:val="nil"/>
              <w:left w:val="nil"/>
              <w:bottom w:val="single" w:color="auto" w:sz="8" w:space="0"/>
              <w:right w:val="single" w:color="auto" w:sz="8" w:space="0"/>
            </w:tcBorders>
            <w:noWrap/>
            <w:vAlign w:val="center"/>
          </w:tcPr>
          <w:p w14:paraId="6A273A0B">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02FD5C5B">
        <w:tblPrEx>
          <w:tblCellMar>
            <w:top w:w="0" w:type="dxa"/>
            <w:left w:w="108" w:type="dxa"/>
            <w:bottom w:w="0" w:type="dxa"/>
            <w:right w:w="108" w:type="dxa"/>
          </w:tblCellMar>
        </w:tblPrEx>
        <w:trPr>
          <w:trHeight w:val="480" w:hRule="atLeast"/>
          <w:jc w:val="center"/>
        </w:trPr>
        <w:tc>
          <w:tcPr>
            <w:tcW w:w="820" w:type="dxa"/>
            <w:vMerge w:val="continue"/>
            <w:tcBorders>
              <w:top w:val="nil"/>
              <w:left w:val="single" w:color="auto" w:sz="8" w:space="0"/>
              <w:bottom w:val="single" w:color="000000" w:sz="8" w:space="0"/>
              <w:right w:val="single" w:color="auto" w:sz="8" w:space="0"/>
            </w:tcBorders>
            <w:noWrap/>
            <w:vAlign w:val="center"/>
          </w:tcPr>
          <w:p w14:paraId="6B3DA7B3">
            <w:pPr>
              <w:widowControl/>
              <w:spacing w:line="320" w:lineRule="exact"/>
              <w:jc w:val="left"/>
              <w:rPr>
                <w:rFonts w:ascii="宋体" w:hAnsi="宋体" w:cs="宋体"/>
                <w:color w:val="000000"/>
                <w:kern w:val="0"/>
                <w:szCs w:val="21"/>
              </w:rPr>
            </w:pPr>
          </w:p>
        </w:tc>
        <w:tc>
          <w:tcPr>
            <w:tcW w:w="860" w:type="dxa"/>
            <w:tcBorders>
              <w:top w:val="nil"/>
              <w:left w:val="nil"/>
              <w:bottom w:val="single" w:color="auto" w:sz="8" w:space="0"/>
              <w:right w:val="single" w:color="auto" w:sz="8" w:space="0"/>
            </w:tcBorders>
            <w:noWrap/>
            <w:vAlign w:val="center"/>
          </w:tcPr>
          <w:p w14:paraId="0B51FE22">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11</w:t>
            </w:r>
          </w:p>
        </w:tc>
        <w:tc>
          <w:tcPr>
            <w:tcW w:w="5845" w:type="dxa"/>
            <w:tcBorders>
              <w:top w:val="nil"/>
              <w:left w:val="nil"/>
              <w:bottom w:val="single" w:color="auto" w:sz="8" w:space="0"/>
              <w:right w:val="single" w:color="auto" w:sz="8" w:space="0"/>
            </w:tcBorders>
            <w:noWrap/>
            <w:vAlign w:val="center"/>
          </w:tcPr>
          <w:p w14:paraId="5A7E822F">
            <w:pPr>
              <w:widowControl/>
              <w:spacing w:line="320" w:lineRule="exact"/>
              <w:rPr>
                <w:rFonts w:ascii="宋体" w:hAnsi="宋体" w:cs="宋体"/>
                <w:color w:val="000000"/>
                <w:kern w:val="0"/>
                <w:szCs w:val="21"/>
              </w:rPr>
            </w:pPr>
            <w:r>
              <w:rPr>
                <w:rFonts w:hint="eastAsia" w:ascii="宋体" w:hAnsi="宋体" w:cs="宋体"/>
                <w:color w:val="000000"/>
                <w:kern w:val="0"/>
                <w:szCs w:val="21"/>
              </w:rPr>
              <w:t>供应商在运输、装卸等环节不符合卫生要求的，每发现一次扣5分；</w:t>
            </w:r>
          </w:p>
        </w:tc>
        <w:tc>
          <w:tcPr>
            <w:tcW w:w="775" w:type="dxa"/>
            <w:tcBorders>
              <w:top w:val="nil"/>
              <w:left w:val="nil"/>
              <w:bottom w:val="single" w:color="auto" w:sz="8" w:space="0"/>
              <w:right w:val="single" w:color="auto" w:sz="8" w:space="0"/>
            </w:tcBorders>
            <w:noWrap/>
            <w:vAlign w:val="center"/>
          </w:tcPr>
          <w:p w14:paraId="464D7080">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800" w:type="dxa"/>
            <w:tcBorders>
              <w:top w:val="nil"/>
              <w:left w:val="nil"/>
              <w:bottom w:val="single" w:color="auto" w:sz="8" w:space="0"/>
              <w:right w:val="single" w:color="auto" w:sz="8" w:space="0"/>
            </w:tcBorders>
            <w:noWrap/>
            <w:vAlign w:val="center"/>
          </w:tcPr>
          <w:p w14:paraId="1C7CA568">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43BBA883">
        <w:tblPrEx>
          <w:tblCellMar>
            <w:top w:w="0" w:type="dxa"/>
            <w:left w:w="108" w:type="dxa"/>
            <w:bottom w:w="0" w:type="dxa"/>
            <w:right w:w="108" w:type="dxa"/>
          </w:tblCellMar>
        </w:tblPrEx>
        <w:trPr>
          <w:trHeight w:val="480" w:hRule="atLeast"/>
          <w:jc w:val="center"/>
        </w:trPr>
        <w:tc>
          <w:tcPr>
            <w:tcW w:w="820" w:type="dxa"/>
            <w:vMerge w:val="continue"/>
            <w:tcBorders>
              <w:top w:val="nil"/>
              <w:left w:val="single" w:color="auto" w:sz="8" w:space="0"/>
              <w:bottom w:val="single" w:color="000000" w:sz="8" w:space="0"/>
              <w:right w:val="single" w:color="auto" w:sz="8" w:space="0"/>
            </w:tcBorders>
            <w:noWrap/>
            <w:vAlign w:val="center"/>
          </w:tcPr>
          <w:p w14:paraId="511269CE">
            <w:pPr>
              <w:widowControl/>
              <w:spacing w:line="320" w:lineRule="exact"/>
              <w:jc w:val="left"/>
              <w:rPr>
                <w:rFonts w:ascii="宋体" w:hAnsi="宋体" w:cs="宋体"/>
                <w:color w:val="000000"/>
                <w:kern w:val="0"/>
                <w:szCs w:val="21"/>
              </w:rPr>
            </w:pPr>
          </w:p>
        </w:tc>
        <w:tc>
          <w:tcPr>
            <w:tcW w:w="860" w:type="dxa"/>
            <w:tcBorders>
              <w:top w:val="nil"/>
              <w:left w:val="nil"/>
              <w:bottom w:val="single" w:color="auto" w:sz="8" w:space="0"/>
              <w:right w:val="single" w:color="auto" w:sz="8" w:space="0"/>
            </w:tcBorders>
            <w:noWrap/>
            <w:vAlign w:val="center"/>
          </w:tcPr>
          <w:p w14:paraId="58A188BF">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12</w:t>
            </w:r>
          </w:p>
        </w:tc>
        <w:tc>
          <w:tcPr>
            <w:tcW w:w="5845" w:type="dxa"/>
            <w:tcBorders>
              <w:top w:val="nil"/>
              <w:left w:val="nil"/>
              <w:bottom w:val="single" w:color="auto" w:sz="8" w:space="0"/>
              <w:right w:val="single" w:color="auto" w:sz="8" w:space="0"/>
            </w:tcBorders>
            <w:noWrap/>
            <w:vAlign w:val="center"/>
          </w:tcPr>
          <w:p w14:paraId="06272B01">
            <w:pPr>
              <w:widowControl/>
              <w:spacing w:line="320" w:lineRule="exact"/>
              <w:rPr>
                <w:rFonts w:ascii="宋体" w:hAnsi="宋体" w:cs="宋体"/>
                <w:color w:val="000000"/>
                <w:kern w:val="0"/>
                <w:szCs w:val="21"/>
              </w:rPr>
            </w:pPr>
            <w:r>
              <w:rPr>
                <w:rFonts w:hint="eastAsia" w:ascii="宋体" w:hAnsi="宋体" w:cs="宋体"/>
                <w:color w:val="000000"/>
                <w:kern w:val="0"/>
                <w:szCs w:val="21"/>
              </w:rPr>
              <w:t>把招标人验收不合格退货的用品重新配送给招标人的，每发现一次扣10分；</w:t>
            </w:r>
          </w:p>
        </w:tc>
        <w:tc>
          <w:tcPr>
            <w:tcW w:w="775" w:type="dxa"/>
            <w:tcBorders>
              <w:top w:val="nil"/>
              <w:left w:val="nil"/>
              <w:bottom w:val="single" w:color="auto" w:sz="8" w:space="0"/>
              <w:right w:val="single" w:color="auto" w:sz="8" w:space="0"/>
            </w:tcBorders>
            <w:noWrap/>
            <w:vAlign w:val="center"/>
          </w:tcPr>
          <w:p w14:paraId="3D57C07F">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800" w:type="dxa"/>
            <w:tcBorders>
              <w:top w:val="nil"/>
              <w:left w:val="nil"/>
              <w:bottom w:val="single" w:color="auto" w:sz="8" w:space="0"/>
              <w:right w:val="single" w:color="auto" w:sz="8" w:space="0"/>
            </w:tcBorders>
            <w:noWrap/>
            <w:vAlign w:val="center"/>
          </w:tcPr>
          <w:p w14:paraId="35F235C0">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288254AE">
        <w:tblPrEx>
          <w:tblCellMar>
            <w:top w:w="0" w:type="dxa"/>
            <w:left w:w="108" w:type="dxa"/>
            <w:bottom w:w="0" w:type="dxa"/>
            <w:right w:w="108" w:type="dxa"/>
          </w:tblCellMar>
        </w:tblPrEx>
        <w:trPr>
          <w:trHeight w:val="480" w:hRule="atLeast"/>
          <w:jc w:val="center"/>
        </w:trPr>
        <w:tc>
          <w:tcPr>
            <w:tcW w:w="820" w:type="dxa"/>
            <w:vMerge w:val="continue"/>
            <w:tcBorders>
              <w:top w:val="nil"/>
              <w:left w:val="single" w:color="auto" w:sz="8" w:space="0"/>
              <w:bottom w:val="single" w:color="000000" w:sz="8" w:space="0"/>
              <w:right w:val="single" w:color="auto" w:sz="8" w:space="0"/>
            </w:tcBorders>
            <w:noWrap/>
            <w:vAlign w:val="center"/>
          </w:tcPr>
          <w:p w14:paraId="118EE933">
            <w:pPr>
              <w:widowControl/>
              <w:spacing w:line="320" w:lineRule="exact"/>
              <w:jc w:val="left"/>
              <w:rPr>
                <w:rFonts w:ascii="宋体" w:hAnsi="宋体" w:cs="宋体"/>
                <w:color w:val="000000"/>
                <w:kern w:val="0"/>
                <w:szCs w:val="21"/>
              </w:rPr>
            </w:pPr>
          </w:p>
        </w:tc>
        <w:tc>
          <w:tcPr>
            <w:tcW w:w="860" w:type="dxa"/>
            <w:tcBorders>
              <w:top w:val="nil"/>
              <w:left w:val="nil"/>
              <w:bottom w:val="single" w:color="auto" w:sz="8" w:space="0"/>
              <w:right w:val="single" w:color="auto" w:sz="8" w:space="0"/>
            </w:tcBorders>
            <w:noWrap/>
            <w:vAlign w:val="center"/>
          </w:tcPr>
          <w:p w14:paraId="1CD2F876">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13</w:t>
            </w:r>
          </w:p>
        </w:tc>
        <w:tc>
          <w:tcPr>
            <w:tcW w:w="5845" w:type="dxa"/>
            <w:tcBorders>
              <w:top w:val="nil"/>
              <w:left w:val="nil"/>
              <w:bottom w:val="single" w:color="auto" w:sz="8" w:space="0"/>
              <w:right w:val="single" w:color="auto" w:sz="8" w:space="0"/>
            </w:tcBorders>
            <w:noWrap/>
            <w:vAlign w:val="center"/>
          </w:tcPr>
          <w:p w14:paraId="4813D400">
            <w:pPr>
              <w:widowControl/>
              <w:spacing w:line="320" w:lineRule="exact"/>
              <w:rPr>
                <w:rFonts w:ascii="宋体" w:hAnsi="宋体" w:cs="宋体"/>
                <w:color w:val="000000"/>
                <w:kern w:val="0"/>
                <w:szCs w:val="21"/>
              </w:rPr>
            </w:pPr>
            <w:r>
              <w:rPr>
                <w:rFonts w:hint="eastAsia" w:ascii="宋体" w:hAnsi="宋体" w:cs="宋体"/>
                <w:color w:val="000000"/>
                <w:kern w:val="0"/>
                <w:szCs w:val="21"/>
              </w:rPr>
              <w:t>货物出现质量问题，供应商不积极配合查找原因，不及时反馈处理结果的，每次扣10分；</w:t>
            </w:r>
          </w:p>
        </w:tc>
        <w:tc>
          <w:tcPr>
            <w:tcW w:w="775" w:type="dxa"/>
            <w:tcBorders>
              <w:top w:val="nil"/>
              <w:left w:val="nil"/>
              <w:bottom w:val="single" w:color="auto" w:sz="8" w:space="0"/>
              <w:right w:val="single" w:color="auto" w:sz="8" w:space="0"/>
            </w:tcBorders>
            <w:noWrap/>
            <w:vAlign w:val="center"/>
          </w:tcPr>
          <w:p w14:paraId="7EBCDA3B">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800" w:type="dxa"/>
            <w:tcBorders>
              <w:top w:val="nil"/>
              <w:left w:val="nil"/>
              <w:bottom w:val="single" w:color="auto" w:sz="8" w:space="0"/>
              <w:right w:val="single" w:color="auto" w:sz="8" w:space="0"/>
            </w:tcBorders>
            <w:noWrap/>
            <w:vAlign w:val="center"/>
          </w:tcPr>
          <w:p w14:paraId="3672F1D6">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2EBF2250">
        <w:tblPrEx>
          <w:tblCellMar>
            <w:top w:w="0" w:type="dxa"/>
            <w:left w:w="108" w:type="dxa"/>
            <w:bottom w:w="0" w:type="dxa"/>
            <w:right w:w="108" w:type="dxa"/>
          </w:tblCellMar>
        </w:tblPrEx>
        <w:trPr>
          <w:trHeight w:val="405" w:hRule="atLeast"/>
          <w:jc w:val="center"/>
        </w:trPr>
        <w:tc>
          <w:tcPr>
            <w:tcW w:w="820" w:type="dxa"/>
            <w:vMerge w:val="restart"/>
            <w:tcBorders>
              <w:top w:val="nil"/>
              <w:left w:val="single" w:color="auto" w:sz="8" w:space="0"/>
              <w:bottom w:val="single" w:color="000000" w:sz="8" w:space="0"/>
              <w:right w:val="single" w:color="auto" w:sz="8" w:space="0"/>
            </w:tcBorders>
            <w:noWrap/>
            <w:vAlign w:val="center"/>
          </w:tcPr>
          <w:p w14:paraId="2CABAF48">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其它</w:t>
            </w:r>
          </w:p>
        </w:tc>
        <w:tc>
          <w:tcPr>
            <w:tcW w:w="860" w:type="dxa"/>
            <w:tcBorders>
              <w:top w:val="nil"/>
              <w:left w:val="nil"/>
              <w:bottom w:val="single" w:color="auto" w:sz="8" w:space="0"/>
              <w:right w:val="single" w:color="auto" w:sz="8" w:space="0"/>
            </w:tcBorders>
            <w:noWrap/>
            <w:vAlign w:val="center"/>
          </w:tcPr>
          <w:p w14:paraId="0A0E57A8">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14</w:t>
            </w:r>
          </w:p>
        </w:tc>
        <w:tc>
          <w:tcPr>
            <w:tcW w:w="5845" w:type="dxa"/>
            <w:tcBorders>
              <w:top w:val="nil"/>
              <w:left w:val="nil"/>
              <w:bottom w:val="single" w:color="auto" w:sz="8" w:space="0"/>
              <w:right w:val="single" w:color="auto" w:sz="8" w:space="0"/>
            </w:tcBorders>
            <w:noWrap/>
            <w:vAlign w:val="center"/>
          </w:tcPr>
          <w:p w14:paraId="29443665">
            <w:pPr>
              <w:widowControl/>
              <w:spacing w:line="320" w:lineRule="exact"/>
              <w:rPr>
                <w:rFonts w:ascii="宋体" w:hAnsi="宋体" w:cs="宋体"/>
                <w:color w:val="000000"/>
                <w:kern w:val="0"/>
                <w:szCs w:val="21"/>
              </w:rPr>
            </w:pPr>
            <w:r>
              <w:rPr>
                <w:rFonts w:hint="eastAsia" w:ascii="宋体" w:hAnsi="宋体" w:cs="宋体"/>
                <w:color w:val="000000"/>
                <w:kern w:val="0"/>
                <w:szCs w:val="21"/>
              </w:rPr>
              <w:t>供应商工作人员不遵守招标人各项管理规定，每次扣5分；</w:t>
            </w:r>
          </w:p>
        </w:tc>
        <w:tc>
          <w:tcPr>
            <w:tcW w:w="775" w:type="dxa"/>
            <w:tcBorders>
              <w:top w:val="nil"/>
              <w:left w:val="nil"/>
              <w:bottom w:val="single" w:color="auto" w:sz="8" w:space="0"/>
              <w:right w:val="single" w:color="auto" w:sz="8" w:space="0"/>
            </w:tcBorders>
            <w:noWrap/>
            <w:vAlign w:val="center"/>
          </w:tcPr>
          <w:p w14:paraId="26EFB016">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800" w:type="dxa"/>
            <w:tcBorders>
              <w:top w:val="nil"/>
              <w:left w:val="nil"/>
              <w:bottom w:val="single" w:color="auto" w:sz="8" w:space="0"/>
              <w:right w:val="single" w:color="auto" w:sz="8" w:space="0"/>
            </w:tcBorders>
            <w:noWrap/>
            <w:vAlign w:val="center"/>
          </w:tcPr>
          <w:p w14:paraId="55EFD13C">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0D2B9F5F">
        <w:tblPrEx>
          <w:tblCellMar>
            <w:top w:w="0" w:type="dxa"/>
            <w:left w:w="108" w:type="dxa"/>
            <w:bottom w:w="0" w:type="dxa"/>
            <w:right w:w="108" w:type="dxa"/>
          </w:tblCellMar>
        </w:tblPrEx>
        <w:trPr>
          <w:trHeight w:val="480" w:hRule="atLeast"/>
          <w:jc w:val="center"/>
        </w:trPr>
        <w:tc>
          <w:tcPr>
            <w:tcW w:w="820" w:type="dxa"/>
            <w:vMerge w:val="continue"/>
            <w:tcBorders>
              <w:top w:val="nil"/>
              <w:left w:val="single" w:color="auto" w:sz="8" w:space="0"/>
              <w:bottom w:val="single" w:color="000000" w:sz="8" w:space="0"/>
              <w:right w:val="single" w:color="auto" w:sz="8" w:space="0"/>
            </w:tcBorders>
            <w:noWrap/>
            <w:vAlign w:val="center"/>
          </w:tcPr>
          <w:p w14:paraId="26836242">
            <w:pPr>
              <w:widowControl/>
              <w:spacing w:line="320" w:lineRule="exact"/>
              <w:jc w:val="left"/>
              <w:rPr>
                <w:rFonts w:ascii="宋体" w:hAnsi="宋体" w:cs="宋体"/>
                <w:color w:val="000000"/>
                <w:kern w:val="0"/>
                <w:szCs w:val="21"/>
              </w:rPr>
            </w:pPr>
          </w:p>
        </w:tc>
        <w:tc>
          <w:tcPr>
            <w:tcW w:w="860" w:type="dxa"/>
            <w:tcBorders>
              <w:top w:val="nil"/>
              <w:left w:val="nil"/>
              <w:bottom w:val="single" w:color="auto" w:sz="8" w:space="0"/>
              <w:right w:val="single" w:color="auto" w:sz="8" w:space="0"/>
            </w:tcBorders>
            <w:noWrap/>
            <w:vAlign w:val="center"/>
          </w:tcPr>
          <w:p w14:paraId="6A0BC008">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15</w:t>
            </w:r>
          </w:p>
        </w:tc>
        <w:tc>
          <w:tcPr>
            <w:tcW w:w="5845" w:type="dxa"/>
            <w:tcBorders>
              <w:top w:val="nil"/>
              <w:left w:val="nil"/>
              <w:bottom w:val="single" w:color="auto" w:sz="8" w:space="0"/>
              <w:right w:val="single" w:color="auto" w:sz="8" w:space="0"/>
            </w:tcBorders>
            <w:noWrap/>
            <w:vAlign w:val="center"/>
          </w:tcPr>
          <w:p w14:paraId="7A49EA6A">
            <w:pPr>
              <w:widowControl/>
              <w:spacing w:line="320" w:lineRule="exact"/>
              <w:rPr>
                <w:rFonts w:ascii="宋体" w:hAnsi="宋体" w:cs="宋体"/>
                <w:color w:val="000000"/>
                <w:kern w:val="0"/>
                <w:szCs w:val="21"/>
              </w:rPr>
            </w:pPr>
            <w:r>
              <w:rPr>
                <w:rFonts w:hint="eastAsia" w:ascii="宋体" w:hAnsi="宋体" w:cs="宋体"/>
                <w:color w:val="000000"/>
                <w:kern w:val="0"/>
                <w:szCs w:val="21"/>
              </w:rPr>
              <w:t>对招标人提出的合理建议未能在约定期限内回复的，每次扣5分；</w:t>
            </w:r>
          </w:p>
        </w:tc>
        <w:tc>
          <w:tcPr>
            <w:tcW w:w="775" w:type="dxa"/>
            <w:tcBorders>
              <w:top w:val="nil"/>
              <w:left w:val="nil"/>
              <w:bottom w:val="single" w:color="auto" w:sz="8" w:space="0"/>
              <w:right w:val="single" w:color="auto" w:sz="8" w:space="0"/>
            </w:tcBorders>
            <w:noWrap/>
            <w:vAlign w:val="center"/>
          </w:tcPr>
          <w:p w14:paraId="1801BE42">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800" w:type="dxa"/>
            <w:tcBorders>
              <w:top w:val="nil"/>
              <w:left w:val="nil"/>
              <w:bottom w:val="single" w:color="auto" w:sz="8" w:space="0"/>
              <w:right w:val="single" w:color="auto" w:sz="8" w:space="0"/>
            </w:tcBorders>
            <w:noWrap/>
            <w:vAlign w:val="center"/>
          </w:tcPr>
          <w:p w14:paraId="137A0FA2">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70141106">
        <w:tblPrEx>
          <w:tblCellMar>
            <w:top w:w="0" w:type="dxa"/>
            <w:left w:w="108" w:type="dxa"/>
            <w:bottom w:w="0" w:type="dxa"/>
            <w:right w:w="108" w:type="dxa"/>
          </w:tblCellMar>
        </w:tblPrEx>
        <w:trPr>
          <w:trHeight w:val="480" w:hRule="atLeast"/>
          <w:jc w:val="center"/>
        </w:trPr>
        <w:tc>
          <w:tcPr>
            <w:tcW w:w="820" w:type="dxa"/>
            <w:vMerge w:val="continue"/>
            <w:tcBorders>
              <w:top w:val="nil"/>
              <w:left w:val="single" w:color="auto" w:sz="8" w:space="0"/>
              <w:bottom w:val="single" w:color="000000" w:sz="8" w:space="0"/>
              <w:right w:val="single" w:color="auto" w:sz="8" w:space="0"/>
            </w:tcBorders>
            <w:noWrap/>
            <w:vAlign w:val="center"/>
          </w:tcPr>
          <w:p w14:paraId="55406726">
            <w:pPr>
              <w:widowControl/>
              <w:spacing w:line="320" w:lineRule="exact"/>
              <w:jc w:val="left"/>
              <w:rPr>
                <w:rFonts w:ascii="宋体" w:hAnsi="宋体" w:cs="宋体"/>
                <w:color w:val="000000"/>
                <w:kern w:val="0"/>
                <w:szCs w:val="21"/>
              </w:rPr>
            </w:pPr>
          </w:p>
        </w:tc>
        <w:tc>
          <w:tcPr>
            <w:tcW w:w="860" w:type="dxa"/>
            <w:tcBorders>
              <w:top w:val="nil"/>
              <w:left w:val="nil"/>
              <w:bottom w:val="single" w:color="auto" w:sz="8" w:space="0"/>
              <w:right w:val="single" w:color="auto" w:sz="8" w:space="0"/>
            </w:tcBorders>
            <w:noWrap/>
            <w:vAlign w:val="center"/>
          </w:tcPr>
          <w:p w14:paraId="05380381">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16</w:t>
            </w:r>
          </w:p>
        </w:tc>
        <w:tc>
          <w:tcPr>
            <w:tcW w:w="5845" w:type="dxa"/>
            <w:tcBorders>
              <w:top w:val="nil"/>
              <w:left w:val="nil"/>
              <w:bottom w:val="single" w:color="auto" w:sz="8" w:space="0"/>
              <w:right w:val="single" w:color="auto" w:sz="8" w:space="0"/>
            </w:tcBorders>
            <w:noWrap/>
            <w:vAlign w:val="center"/>
          </w:tcPr>
          <w:p w14:paraId="3A1C69F1">
            <w:pPr>
              <w:widowControl/>
              <w:spacing w:line="320" w:lineRule="exact"/>
              <w:rPr>
                <w:rFonts w:ascii="宋体" w:hAnsi="宋体" w:cs="宋体"/>
                <w:color w:val="000000"/>
                <w:kern w:val="0"/>
                <w:szCs w:val="21"/>
              </w:rPr>
            </w:pPr>
            <w:r>
              <w:rPr>
                <w:rFonts w:hint="eastAsia" w:ascii="宋体" w:hAnsi="宋体" w:cs="宋体"/>
                <w:color w:val="000000"/>
                <w:kern w:val="0"/>
                <w:szCs w:val="21"/>
              </w:rPr>
              <w:t>供应商组织机构发生调整，或经营场所、联系人、联系方式变更，未及时通知招标人后勤部门，造成无法及时联系的，每次扣5分；</w:t>
            </w:r>
          </w:p>
        </w:tc>
        <w:tc>
          <w:tcPr>
            <w:tcW w:w="775" w:type="dxa"/>
            <w:tcBorders>
              <w:top w:val="nil"/>
              <w:left w:val="nil"/>
              <w:bottom w:val="single" w:color="auto" w:sz="8" w:space="0"/>
              <w:right w:val="single" w:color="auto" w:sz="8" w:space="0"/>
            </w:tcBorders>
            <w:noWrap/>
            <w:vAlign w:val="center"/>
          </w:tcPr>
          <w:p w14:paraId="2D2D9D95">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800" w:type="dxa"/>
            <w:tcBorders>
              <w:top w:val="nil"/>
              <w:left w:val="nil"/>
              <w:bottom w:val="single" w:color="auto" w:sz="8" w:space="0"/>
              <w:right w:val="single" w:color="auto" w:sz="8" w:space="0"/>
            </w:tcBorders>
            <w:noWrap/>
            <w:vAlign w:val="center"/>
          </w:tcPr>
          <w:p w14:paraId="317F0CCA">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3B2E56F9">
        <w:tblPrEx>
          <w:tblCellMar>
            <w:top w:w="0" w:type="dxa"/>
            <w:left w:w="108" w:type="dxa"/>
            <w:bottom w:w="0" w:type="dxa"/>
            <w:right w:w="108" w:type="dxa"/>
          </w:tblCellMar>
        </w:tblPrEx>
        <w:trPr>
          <w:trHeight w:val="480" w:hRule="atLeast"/>
          <w:jc w:val="center"/>
        </w:trPr>
        <w:tc>
          <w:tcPr>
            <w:tcW w:w="820" w:type="dxa"/>
            <w:vMerge w:val="continue"/>
            <w:tcBorders>
              <w:top w:val="nil"/>
              <w:left w:val="single" w:color="auto" w:sz="8" w:space="0"/>
              <w:bottom w:val="single" w:color="000000" w:sz="8" w:space="0"/>
              <w:right w:val="single" w:color="auto" w:sz="8" w:space="0"/>
            </w:tcBorders>
            <w:noWrap/>
            <w:vAlign w:val="center"/>
          </w:tcPr>
          <w:p w14:paraId="455C90B1">
            <w:pPr>
              <w:widowControl/>
              <w:spacing w:line="320" w:lineRule="exact"/>
              <w:jc w:val="left"/>
              <w:rPr>
                <w:rFonts w:ascii="宋体" w:hAnsi="宋体" w:cs="宋体"/>
                <w:color w:val="000000"/>
                <w:kern w:val="0"/>
                <w:szCs w:val="21"/>
              </w:rPr>
            </w:pPr>
          </w:p>
        </w:tc>
        <w:tc>
          <w:tcPr>
            <w:tcW w:w="860" w:type="dxa"/>
            <w:tcBorders>
              <w:top w:val="nil"/>
              <w:left w:val="nil"/>
              <w:bottom w:val="single" w:color="auto" w:sz="8" w:space="0"/>
              <w:right w:val="single" w:color="auto" w:sz="8" w:space="0"/>
            </w:tcBorders>
            <w:noWrap/>
            <w:vAlign w:val="center"/>
          </w:tcPr>
          <w:p w14:paraId="7CA5980F">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17</w:t>
            </w:r>
          </w:p>
        </w:tc>
        <w:tc>
          <w:tcPr>
            <w:tcW w:w="5845" w:type="dxa"/>
            <w:tcBorders>
              <w:top w:val="nil"/>
              <w:left w:val="nil"/>
              <w:bottom w:val="single" w:color="auto" w:sz="8" w:space="0"/>
              <w:right w:val="single" w:color="auto" w:sz="8" w:space="0"/>
            </w:tcBorders>
            <w:noWrap/>
            <w:vAlign w:val="center"/>
          </w:tcPr>
          <w:p w14:paraId="7AF548E7">
            <w:pPr>
              <w:widowControl/>
              <w:spacing w:line="320" w:lineRule="exact"/>
              <w:rPr>
                <w:rFonts w:ascii="宋体" w:hAnsi="宋体" w:cs="宋体"/>
                <w:color w:val="000000"/>
                <w:kern w:val="0"/>
                <w:szCs w:val="21"/>
              </w:rPr>
            </w:pPr>
            <w:r>
              <w:rPr>
                <w:rFonts w:hint="eastAsia" w:ascii="宋体" w:hAnsi="宋体" w:cs="宋体"/>
                <w:color w:val="000000"/>
                <w:kern w:val="0"/>
                <w:szCs w:val="21"/>
              </w:rPr>
              <w:t>招标人认为应当对供应商进行考核的其他内容。</w:t>
            </w:r>
          </w:p>
        </w:tc>
        <w:tc>
          <w:tcPr>
            <w:tcW w:w="775" w:type="dxa"/>
            <w:tcBorders>
              <w:top w:val="nil"/>
              <w:left w:val="nil"/>
              <w:bottom w:val="single" w:color="auto" w:sz="8" w:space="0"/>
              <w:right w:val="single" w:color="auto" w:sz="8" w:space="0"/>
            </w:tcBorders>
            <w:noWrap/>
            <w:vAlign w:val="center"/>
          </w:tcPr>
          <w:p w14:paraId="4F98591B">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800" w:type="dxa"/>
            <w:tcBorders>
              <w:top w:val="nil"/>
              <w:left w:val="nil"/>
              <w:bottom w:val="single" w:color="auto" w:sz="8" w:space="0"/>
              <w:right w:val="single" w:color="auto" w:sz="8" w:space="0"/>
            </w:tcBorders>
            <w:noWrap/>
            <w:vAlign w:val="center"/>
          </w:tcPr>
          <w:p w14:paraId="56BC5B12">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25D30555">
        <w:tblPrEx>
          <w:tblCellMar>
            <w:top w:w="0" w:type="dxa"/>
            <w:left w:w="108" w:type="dxa"/>
            <w:bottom w:w="0" w:type="dxa"/>
            <w:right w:w="108" w:type="dxa"/>
          </w:tblCellMar>
        </w:tblPrEx>
        <w:trPr>
          <w:trHeight w:val="360" w:hRule="atLeast"/>
          <w:jc w:val="center"/>
        </w:trPr>
        <w:tc>
          <w:tcPr>
            <w:tcW w:w="1680" w:type="dxa"/>
            <w:gridSpan w:val="2"/>
            <w:tcBorders>
              <w:top w:val="single" w:color="auto" w:sz="8" w:space="0"/>
              <w:left w:val="single" w:color="auto" w:sz="8" w:space="0"/>
              <w:bottom w:val="single" w:color="auto" w:sz="8" w:space="0"/>
              <w:right w:val="single" w:color="000000" w:sz="8" w:space="0"/>
            </w:tcBorders>
            <w:noWrap/>
            <w:vAlign w:val="center"/>
          </w:tcPr>
          <w:p w14:paraId="4BB511F1">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扣分合计</w:t>
            </w:r>
          </w:p>
        </w:tc>
        <w:tc>
          <w:tcPr>
            <w:tcW w:w="7420" w:type="dxa"/>
            <w:gridSpan w:val="3"/>
            <w:tcBorders>
              <w:top w:val="single" w:color="auto" w:sz="8" w:space="0"/>
              <w:left w:val="nil"/>
              <w:bottom w:val="single" w:color="auto" w:sz="8" w:space="0"/>
              <w:right w:val="single" w:color="000000" w:sz="8" w:space="0"/>
            </w:tcBorders>
            <w:noWrap/>
            <w:vAlign w:val="center"/>
          </w:tcPr>
          <w:p w14:paraId="580FE747">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58AB1F72">
        <w:tblPrEx>
          <w:tblCellMar>
            <w:top w:w="0" w:type="dxa"/>
            <w:left w:w="108" w:type="dxa"/>
            <w:bottom w:w="0" w:type="dxa"/>
            <w:right w:w="108" w:type="dxa"/>
          </w:tblCellMar>
        </w:tblPrEx>
        <w:trPr>
          <w:trHeight w:val="392" w:hRule="atLeast"/>
          <w:jc w:val="center"/>
        </w:trPr>
        <w:tc>
          <w:tcPr>
            <w:tcW w:w="1680" w:type="dxa"/>
            <w:gridSpan w:val="2"/>
            <w:tcBorders>
              <w:top w:val="single" w:color="auto" w:sz="8" w:space="0"/>
              <w:left w:val="single" w:color="auto" w:sz="8" w:space="0"/>
              <w:bottom w:val="single" w:color="auto" w:sz="8" w:space="0"/>
              <w:right w:val="single" w:color="000000" w:sz="8" w:space="0"/>
            </w:tcBorders>
            <w:noWrap/>
            <w:vAlign w:val="center"/>
          </w:tcPr>
          <w:p w14:paraId="696F76F8">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考核人</w:t>
            </w:r>
          </w:p>
        </w:tc>
        <w:tc>
          <w:tcPr>
            <w:tcW w:w="7420" w:type="dxa"/>
            <w:gridSpan w:val="3"/>
            <w:tcBorders>
              <w:top w:val="single" w:color="auto" w:sz="8" w:space="0"/>
              <w:left w:val="nil"/>
              <w:bottom w:val="single" w:color="auto" w:sz="8" w:space="0"/>
              <w:right w:val="single" w:color="000000" w:sz="8" w:space="0"/>
            </w:tcBorders>
            <w:noWrap/>
            <w:vAlign w:val="center"/>
          </w:tcPr>
          <w:p w14:paraId="3B6D237C">
            <w:pPr>
              <w:widowControl/>
              <w:spacing w:line="320" w:lineRule="exact"/>
              <w:jc w:val="center"/>
              <w:rPr>
                <w:rFonts w:ascii="宋体" w:hAnsi="宋体" w:cs="宋体"/>
                <w:color w:val="000000"/>
                <w:kern w:val="0"/>
                <w:szCs w:val="21"/>
              </w:rPr>
            </w:pPr>
            <w:r>
              <w:rPr>
                <w:rFonts w:hint="eastAsia" w:ascii="宋体" w:hAnsi="宋体" w:cs="宋体"/>
                <w:color w:val="000000"/>
                <w:kern w:val="0"/>
                <w:szCs w:val="21"/>
              </w:rPr>
              <w:t>　</w:t>
            </w:r>
          </w:p>
        </w:tc>
      </w:tr>
    </w:tbl>
    <w:p w14:paraId="4283D3B8">
      <w:pPr>
        <w:spacing w:line="500" w:lineRule="exact"/>
        <w:rPr>
          <w:rFonts w:ascii="宋体" w:hAnsi="宋体" w:cs="宋体"/>
          <w:szCs w:val="21"/>
        </w:rPr>
      </w:pPr>
      <w:r>
        <w:rPr>
          <w:rFonts w:hint="eastAsia" w:ascii="宋体" w:hAnsi="宋体" w:cs="宋体"/>
          <w:kern w:val="0"/>
          <w:szCs w:val="21"/>
        </w:rPr>
        <w:t>履约评价表由</w:t>
      </w:r>
      <w:r>
        <w:rPr>
          <w:rFonts w:hint="eastAsia" w:ascii="宋体" w:hAnsi="宋体" w:cs="宋体"/>
          <w:szCs w:val="21"/>
        </w:rPr>
        <w:t>招标人每个月付款前</w:t>
      </w:r>
      <w:r>
        <w:rPr>
          <w:rFonts w:hint="eastAsia" w:ascii="宋体" w:hAnsi="宋体" w:cs="宋体"/>
          <w:kern w:val="0"/>
          <w:szCs w:val="21"/>
        </w:rPr>
        <w:t>进行考评。如履约评价表扣分高于（或等于）20分的，招标人将扣除当月对货款费的5%作为罚款；如履约评价表扣分高于（或等于）40分的，招标人将扣除当月对货款费的10%作为罚款。</w:t>
      </w:r>
    </w:p>
    <w:p w14:paraId="7325CAC6">
      <w:pPr>
        <w:ind w:firstLine="426" w:firstLineChars="202"/>
        <w:rPr>
          <w:rFonts w:asciiTheme="minorEastAsia" w:hAnsiTheme="minorEastAsia"/>
          <w:b/>
          <w:szCs w:val="21"/>
        </w:rPr>
      </w:pPr>
    </w:p>
    <w:p w14:paraId="1BB146D8">
      <w:pPr>
        <w:spacing w:line="360" w:lineRule="auto"/>
        <w:ind w:firstLine="420" w:firstLineChars="200"/>
        <w:rPr>
          <w:rFonts w:cs="仿宋" w:asciiTheme="minorEastAsia" w:hAnsiTheme="minorEastAsia" w:eastAsiaTheme="minorEastAsia"/>
        </w:rPr>
      </w:pPr>
    </w:p>
    <w:p w14:paraId="4C77C832">
      <w:pPr>
        <w:rPr>
          <w:rFonts w:cs="仿宋" w:asciiTheme="minorEastAsia" w:hAnsiTheme="minorEastAsia" w:eastAsiaTheme="minorEastAsia"/>
        </w:rPr>
      </w:pPr>
    </w:p>
    <w:p w14:paraId="29C139FB">
      <w:pPr>
        <w:rPr>
          <w:rFonts w:cs="仿宋" w:asciiTheme="minorEastAsia" w:hAnsiTheme="minorEastAsia" w:eastAsiaTheme="minorEastAsia"/>
        </w:rPr>
      </w:pPr>
    </w:p>
    <w:p w14:paraId="621E76F8">
      <w:pPr>
        <w:rPr>
          <w:rFonts w:cs="仿宋" w:asciiTheme="minorEastAsia" w:hAnsiTheme="minorEastAsia" w:eastAsiaTheme="minorEastAsia"/>
        </w:rPr>
      </w:pPr>
    </w:p>
    <w:p w14:paraId="5D26CE5F">
      <w:pPr>
        <w:rPr>
          <w:rFonts w:cs="仿宋" w:asciiTheme="minorEastAsia" w:hAnsiTheme="minorEastAsia" w:eastAsiaTheme="minorEastAsia"/>
        </w:rPr>
      </w:pPr>
    </w:p>
    <w:p w14:paraId="4C3AE017">
      <w:pPr>
        <w:rPr>
          <w:rFonts w:cs="仿宋" w:asciiTheme="minorEastAsia" w:hAnsiTheme="minorEastAsia" w:eastAsiaTheme="minorEastAsia"/>
        </w:rPr>
      </w:pPr>
    </w:p>
    <w:p w14:paraId="27F389AF">
      <w:pPr>
        <w:rPr>
          <w:rFonts w:cs="仿宋" w:asciiTheme="minorEastAsia" w:hAnsiTheme="minorEastAsia" w:eastAsiaTheme="minorEastAsia"/>
        </w:rPr>
      </w:pPr>
    </w:p>
    <w:p w14:paraId="31B5EB57">
      <w:pPr>
        <w:rPr>
          <w:rFonts w:cs="仿宋" w:asciiTheme="minorEastAsia" w:hAnsiTheme="minorEastAsia" w:eastAsiaTheme="minorEastAsia"/>
        </w:rPr>
      </w:pPr>
    </w:p>
    <w:p w14:paraId="1954D445">
      <w:pPr>
        <w:rPr>
          <w:rFonts w:cs="仿宋" w:asciiTheme="minorEastAsia" w:hAnsiTheme="minorEastAsia" w:eastAsiaTheme="minorEastAsia"/>
        </w:rPr>
      </w:pPr>
    </w:p>
    <w:p w14:paraId="2E4A645F">
      <w:pPr>
        <w:rPr>
          <w:rFonts w:cs="仿宋" w:asciiTheme="minorEastAsia" w:hAnsiTheme="minorEastAsia" w:eastAsiaTheme="minorEastAsia"/>
        </w:rPr>
      </w:pPr>
    </w:p>
    <w:p w14:paraId="28237269">
      <w:pPr>
        <w:rPr>
          <w:rFonts w:cs="仿宋" w:asciiTheme="minorEastAsia" w:hAnsiTheme="minorEastAsia" w:eastAsiaTheme="minorEastAsia"/>
        </w:rPr>
      </w:pPr>
    </w:p>
    <w:p w14:paraId="1615A154">
      <w:pPr>
        <w:rPr>
          <w:rFonts w:cs="仿宋" w:asciiTheme="minorEastAsia" w:hAnsiTheme="minorEastAsia" w:eastAsiaTheme="minorEastAsia"/>
        </w:rPr>
      </w:pPr>
    </w:p>
    <w:p w14:paraId="12B01712">
      <w:pPr>
        <w:rPr>
          <w:rFonts w:cs="仿宋" w:asciiTheme="minorEastAsia" w:hAnsiTheme="minorEastAsia" w:eastAsiaTheme="minorEastAsia"/>
        </w:rPr>
      </w:pPr>
    </w:p>
    <w:p w14:paraId="5CECEB4E">
      <w:pPr>
        <w:rPr>
          <w:rFonts w:cs="仿宋" w:asciiTheme="minorEastAsia" w:hAnsiTheme="minorEastAsia" w:eastAsiaTheme="minorEastAsia"/>
        </w:rPr>
      </w:pPr>
    </w:p>
    <w:p w14:paraId="7C1E7A65">
      <w:pPr>
        <w:rPr>
          <w:rFonts w:cs="仿宋" w:asciiTheme="minorEastAsia" w:hAnsiTheme="minorEastAsia" w:eastAsiaTheme="minorEastAsia"/>
        </w:rPr>
      </w:pPr>
    </w:p>
    <w:p w14:paraId="0CEF1B05">
      <w:pPr>
        <w:rPr>
          <w:rFonts w:cs="仿宋" w:asciiTheme="minorEastAsia" w:hAnsiTheme="minorEastAsia" w:eastAsiaTheme="minorEastAsia"/>
        </w:rPr>
      </w:pPr>
    </w:p>
    <w:p w14:paraId="174FEDC5">
      <w:pPr>
        <w:rPr>
          <w:rFonts w:cs="仿宋" w:asciiTheme="minorEastAsia" w:hAnsiTheme="minorEastAsia" w:eastAsiaTheme="minorEastAsia"/>
        </w:rPr>
      </w:pPr>
    </w:p>
    <w:p w14:paraId="60619357">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第五部分</w:t>
      </w:r>
    </w:p>
    <w:p w14:paraId="02E23B39">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通用条款（投标须知）</w:t>
      </w:r>
    </w:p>
    <w:p w14:paraId="7678DDA2">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6F3B9FB8">
      <w:pPr>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通用条款（投标须知）</w:t>
      </w:r>
    </w:p>
    <w:p w14:paraId="7345CB4A">
      <w:pPr>
        <w:adjustRightInd w:val="0"/>
        <w:spacing w:line="360" w:lineRule="auto"/>
        <w:jc w:val="center"/>
        <w:rPr>
          <w:rFonts w:cs="仿宋" w:asciiTheme="minorEastAsia" w:hAnsiTheme="minorEastAsia" w:eastAsiaTheme="minorEastAsia"/>
          <w:b/>
          <w:snapToGrid w:val="0"/>
          <w:kern w:val="0"/>
          <w:sz w:val="32"/>
          <w:szCs w:val="32"/>
        </w:rPr>
      </w:pPr>
    </w:p>
    <w:p w14:paraId="4E82827C">
      <w:pPr>
        <w:adjustRightInd w:val="0"/>
        <w:spacing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Ａ  说  明</w:t>
      </w:r>
    </w:p>
    <w:p w14:paraId="72EA4335">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 适用范围</w:t>
      </w:r>
    </w:p>
    <w:p w14:paraId="5FC5DB7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  本征集文件仅适用于投标须知前附表（以下简称“前附表”）第1项所叙述项目的货物、工程及服务采购。</w:t>
      </w:r>
    </w:p>
    <w:p w14:paraId="56132EE3">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  上述采购按照采购单位内部管控制度，参考《中华人民共和国政府采购法》和《深圳经济特区政府采购条例》及有关招投标法规、规章、规定，择优选定投标供应商。</w:t>
      </w:r>
    </w:p>
    <w:p w14:paraId="0DBA6327">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 定义</w:t>
      </w:r>
    </w:p>
    <w:p w14:paraId="74BAD2F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  “</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”系指前附表第2项所述。</w:t>
      </w:r>
    </w:p>
    <w:p w14:paraId="242F057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  “</w:t>
      </w:r>
      <w:r>
        <w:rPr>
          <w:rFonts w:hint="eastAsia" w:cs="仿宋" w:asciiTheme="minorEastAsia" w:hAnsiTheme="minorEastAsia" w:eastAsiaTheme="minorEastAsia"/>
          <w:bCs/>
          <w:snapToGrid w:val="0"/>
          <w:kern w:val="0"/>
          <w:szCs w:val="21"/>
        </w:rPr>
        <w:t>采购代理机构</w:t>
      </w:r>
      <w:r>
        <w:rPr>
          <w:rFonts w:hint="eastAsia" w:cs="仿宋" w:asciiTheme="minorEastAsia" w:hAnsiTheme="minorEastAsia" w:eastAsiaTheme="minorEastAsia"/>
          <w:snapToGrid w:val="0"/>
          <w:kern w:val="0"/>
          <w:szCs w:val="21"/>
        </w:rPr>
        <w:t>”系前附表第3项所述。</w:t>
      </w:r>
    </w:p>
    <w:p w14:paraId="72AC844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  “投标供应商”系指向</w:t>
      </w:r>
      <w:r>
        <w:rPr>
          <w:rFonts w:hint="eastAsia" w:cs="仿宋" w:asciiTheme="minorEastAsia" w:hAnsiTheme="minorEastAsia" w:eastAsiaTheme="minorEastAsia"/>
          <w:bCs/>
          <w:snapToGrid w:val="0"/>
          <w:kern w:val="0"/>
          <w:szCs w:val="21"/>
        </w:rPr>
        <w:t>采购代理机构</w:t>
      </w:r>
      <w:r>
        <w:rPr>
          <w:rFonts w:hint="eastAsia" w:cs="仿宋" w:asciiTheme="minorEastAsia" w:hAnsiTheme="minorEastAsia" w:eastAsiaTheme="minorEastAsia"/>
          <w:snapToGrid w:val="0"/>
          <w:kern w:val="0"/>
          <w:szCs w:val="21"/>
        </w:rPr>
        <w:t>提交投标文件的投标供应商。</w:t>
      </w:r>
    </w:p>
    <w:p w14:paraId="4F2CDFF0">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  “货物”系指投标供应商按征集文件规定，须向</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提供的设备及材料。</w:t>
      </w:r>
    </w:p>
    <w:p w14:paraId="06677998">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  “工程”系指投标供应商按征集文件规定，须向</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提供的设备及材料的安装。</w:t>
      </w:r>
    </w:p>
    <w:p w14:paraId="7367790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  “服务”系指征集文件规定卖方须承担设计和其它类似的义务。</w:t>
      </w:r>
    </w:p>
    <w:p w14:paraId="69F58D11">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 资金来源</w:t>
      </w:r>
    </w:p>
    <w:p w14:paraId="5B98AA4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  采购资金通过前附表第4 项的方式获得，并用于采购合同下的合格支付。</w:t>
      </w:r>
    </w:p>
    <w:p w14:paraId="4E032A5F">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4. 合格的投标供应商</w:t>
      </w:r>
    </w:p>
    <w:p w14:paraId="5AE3938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4.1  具有独立承担民事责任的能力。</w:t>
      </w:r>
    </w:p>
    <w:p w14:paraId="7C058B9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4.2  具有良好的商业信誉和健全的财务会计制度。</w:t>
      </w:r>
    </w:p>
    <w:p w14:paraId="446B590D">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4.3  具有履行合同所必需的设备和专业技术能力。</w:t>
      </w:r>
    </w:p>
    <w:p w14:paraId="77152F5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4.4  有依法缴纳税收和社会保障资金的良好记录。</w:t>
      </w:r>
    </w:p>
    <w:p w14:paraId="6D52DAC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4.5  参加政府采购活动近三年内，在经营活动中没有重大违法记录。</w:t>
      </w:r>
    </w:p>
    <w:p w14:paraId="22530C23">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4.6  法律、行政法规规定的其他条件。</w:t>
      </w:r>
    </w:p>
    <w:p w14:paraId="1178CDF3">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4.7  符合前附表第5项规定的条件。</w:t>
      </w:r>
    </w:p>
    <w:p w14:paraId="470E606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  联合体投标</w:t>
      </w:r>
    </w:p>
    <w:p w14:paraId="752DD5A9">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4.8.1　以下有关联合体投标的条款仅适用于允许投标供应商组成联合体投标的项目。是否允许联合体投标以“前附表”中的规定或说明为准。</w:t>
      </w:r>
    </w:p>
    <w:p w14:paraId="5E22070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4.8.2  由两个或两个以上的自然人、法人或者其他组织可以组成一个联合体，以一个投标供应商的身份共同投标时，应符合以下原则：</w:t>
      </w:r>
    </w:p>
    <w:p w14:paraId="141FAB67">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（1）投标联合体各方参加政府采购活动应当具备下列条件： </w:t>
      </w:r>
    </w:p>
    <w:p w14:paraId="2EBE84D2">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1、具有独立承担民事责任的能力； </w:t>
      </w:r>
    </w:p>
    <w:p w14:paraId="06487AD5">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2、具有良好的商业信誉和健全的财务会计制度； </w:t>
      </w:r>
    </w:p>
    <w:p w14:paraId="728371B3">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3、具有履行合同所必需的设备和专业技术能力； </w:t>
      </w:r>
    </w:p>
    <w:p w14:paraId="2AF639A1">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4、有依法缴纳税收和社会保障资金的良好记录； </w:t>
      </w:r>
    </w:p>
    <w:p w14:paraId="621107E0">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5、参加政府采购活动前三年内，在经营活动中没有重大违法记录； </w:t>
      </w:r>
    </w:p>
    <w:p w14:paraId="497CA248">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6、法律、行政法规规定的其他条件。 </w:t>
      </w:r>
    </w:p>
    <w:p w14:paraId="636D054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（2）投标联合体各方必须有一方先行注册成深圳公共资源交易中心投标供应商；</w:t>
      </w:r>
    </w:p>
    <w:p w14:paraId="6AACC53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（3）联合体中有同类资质的投标供应商按照联合体分工承担相同工作的，应当按照资质等级较低的投标供应商确定资质等级。</w:t>
      </w:r>
    </w:p>
    <w:p w14:paraId="5468B07E">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（4）是否允许联合体参加投标，应当由采购人和采购代理机构根据项目的实际情况和潜在投标供应商的数量自主决定，如果决定接受联合体投标则应当在采购公告中明示。</w:t>
      </w:r>
    </w:p>
    <w:p w14:paraId="4D4DE33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采购人根据采购项目的特殊要求规定投标供应商特定条件的，联合体各方中至少应当有一方符合采购人规定的特定条件。对于采购公告对投标供应商某一资格有要求的，按照联合体各方中最低资质等级确定联合体的资质等级；联合体各方的不同资质可优势互补。</w:t>
      </w:r>
    </w:p>
    <w:p w14:paraId="351A9E96">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（6）投标供应商的投标文件及中标后签署的合同协议对联合体各方均具法律约束力；</w:t>
      </w:r>
    </w:p>
    <w:p w14:paraId="2A91EF79">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（7）联合体各方应当签订共同投标协议，明确约定各方拟承担的工作和责任，该共同投标协议应作为投标文件不可缺的组成部分；</w:t>
      </w:r>
    </w:p>
    <w:p w14:paraId="08D00F2C">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（8）联合体中标后，联合体各方应当共同与采购人签订合同，就中标项目向采购人承担连带责任；</w:t>
      </w:r>
    </w:p>
    <w:p w14:paraId="759F8A2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（9）联合体的各方应当共同推荐一联合体投标授权代表，由联合体各方提交一份授权书，证明其有资格代表联合体各方签署投标文件，该授权书应作为投标文件不可缺的组成部分；</w:t>
      </w:r>
    </w:p>
    <w:p w14:paraId="209E084C">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以联合体形式参加政府采购活动的，联合体各方不得再单独参加或者与其他投标供应商另外组成联合体参加同一合同项下的政府采购活动，出现上述情况者，其投标和与此有关的联合体、总包单位的投标将被拒绝；</w:t>
      </w:r>
    </w:p>
    <w:p w14:paraId="580DB873">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（11）本次采购中“投标供应商”一词亦指联合体各方，“前附表”另有规定或说明的除外。</w:t>
      </w:r>
    </w:p>
    <w:p w14:paraId="2AF143D4">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5. 采购活动费用的承担</w:t>
      </w:r>
    </w:p>
    <w:p w14:paraId="2FBB48C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5.1  无论采购过程中的做法和结果如何，投标供应商自行承担所有与参加采购活动有关的全部费用。</w:t>
      </w:r>
    </w:p>
    <w:p w14:paraId="0532278E">
      <w:pPr>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6.  踏勘现场</w:t>
      </w:r>
    </w:p>
    <w:p w14:paraId="1FB05B95">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6.1  </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将按前附表第6项的规定，组织投标供应商对现场及周围环境进行踏勘，以便投标供应商获取须自己负责的有关编制投标文件和签署合同所需的所有资料。踏勘现场所发生的费用由投标供应商自己承担。</w:t>
      </w:r>
    </w:p>
    <w:p w14:paraId="7CD79D18">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6.2 </w:t>
      </w:r>
      <w:r>
        <w:rPr>
          <w:rFonts w:hint="eastAsia" w:cs="仿宋" w:asciiTheme="minorEastAsia" w:hAnsiTheme="minorEastAsia" w:eastAsiaTheme="minorEastAsia"/>
          <w:bCs/>
          <w:szCs w:val="21"/>
        </w:rPr>
        <w:t xml:space="preserve"> 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向投标供应商提供的有关现场的资料和数据，是</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现有的能使投标供应商利用的资料。</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对投标供应商由此而做出的推论、理解和结论概不负责。</w:t>
      </w:r>
    </w:p>
    <w:p w14:paraId="23D45A01">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6.3  投标供应商及其人员经过</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的允许，可为踏勘目的进入</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zCs w:val="21"/>
        </w:rPr>
        <w:t>的现场，但投标供应商及其人员不得因此使</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及其人员承担有关的责任和蒙受损失。投标供应商并应对由此次踏勘现场面造成的死亡、人身伤害、财产损失、损害以及任何其它损失、损害和引起的费用和开支承担责任。</w:t>
      </w:r>
    </w:p>
    <w:p w14:paraId="61BC05C1">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6.4   如果投标供应商认为需要再次进行现场踏勘，</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将予以支持，费用自理。</w:t>
      </w:r>
    </w:p>
    <w:p w14:paraId="619BFD53">
      <w:pPr>
        <w:rPr>
          <w:rFonts w:cs="仿宋" w:asciiTheme="minorEastAsia" w:hAnsiTheme="minorEastAsia" w:eastAsiaTheme="minorEastAsia"/>
        </w:rPr>
      </w:pPr>
      <w:bookmarkStart w:id="7" w:name="q5"/>
      <w:bookmarkEnd w:id="7"/>
    </w:p>
    <w:p w14:paraId="64B3C46F">
      <w:pPr>
        <w:adjustRightInd w:val="0"/>
        <w:spacing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Ｂ　征集文件说明</w:t>
      </w:r>
    </w:p>
    <w:p w14:paraId="63D5F1B5">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7. 征集文件的构成</w:t>
      </w:r>
    </w:p>
    <w:p w14:paraId="3978B4D0">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7.1  征集文件是用以阐明所需设备及服务的情况，以及采购、投标程序和相应的合同条款。征集文件由下述部份组成：</w:t>
      </w:r>
    </w:p>
    <w:p w14:paraId="159E54FA">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（1）采购公告</w:t>
      </w:r>
    </w:p>
    <w:p w14:paraId="3FDE256C">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（2）投标须知前附表及评审信息</w:t>
      </w:r>
    </w:p>
    <w:p w14:paraId="2A5F3D3C">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（3）采购项目需求</w:t>
      </w:r>
    </w:p>
    <w:p w14:paraId="3BDD3773">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（4）投标文件格式</w:t>
      </w:r>
    </w:p>
    <w:p w14:paraId="565C32D5">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（5）合同条款</w:t>
      </w:r>
    </w:p>
    <w:p w14:paraId="0DF69966">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（6）通用条款（投标须知）</w:t>
      </w:r>
    </w:p>
    <w:p w14:paraId="1E0428AE">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（7）附件</w:t>
      </w:r>
    </w:p>
    <w:p w14:paraId="2955A094">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8.  征集文件的澄清及修改</w:t>
      </w:r>
    </w:p>
    <w:p w14:paraId="562536A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8.1  投标供应商对征集文件如有疑点，可要求澄清，应在投标截止日5日前按采购公告中载明的地址以书面形式（包括信函、传真，下同）通知到采购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将视情况确定采用适当方式予以澄清或以书面形式予以答复，并在其认为必要时，将不标明查询来源的书面答复发给已购买征集文件的每一投标供应商。</w:t>
      </w:r>
    </w:p>
    <w:p w14:paraId="4F7EB238">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8.2  在投标截止日3日前，采购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可依据投标供应商要求澄清的问题修改征集文件，并以书面形式通知所有购买征集文件的每一投标供应商，对方在收到该通知后应立即以书面的形式予以确认。</w:t>
      </w:r>
    </w:p>
    <w:p w14:paraId="3ADF4597">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8.3  为了使投标供应商在准备投标文件时有合理的时间考虑征集文件的修改，采购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可酌情推迟投标截止时间和开标时间，并以书面形式通知已购买征集文件的每一投标供应商。</w:t>
      </w:r>
    </w:p>
    <w:p w14:paraId="4CB6B98D">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8.4  征集文件的修改将构成征集文件的一部分，对投标供应商有约束力。</w:t>
      </w:r>
    </w:p>
    <w:p w14:paraId="171B4D79">
      <w:pPr>
        <w:adjustRightInd w:val="0"/>
        <w:spacing w:line="360" w:lineRule="auto"/>
        <w:rPr>
          <w:rFonts w:cs="仿宋" w:asciiTheme="minorEastAsia" w:hAnsiTheme="minorEastAsia" w:eastAsiaTheme="minorEastAsia"/>
          <w:snapToGrid w:val="0"/>
          <w:kern w:val="0"/>
          <w:szCs w:val="21"/>
        </w:rPr>
      </w:pPr>
    </w:p>
    <w:p w14:paraId="4848C5C6">
      <w:pPr>
        <w:adjustRightInd w:val="0"/>
        <w:spacing w:line="360" w:lineRule="auto"/>
        <w:ind w:firstLine="600"/>
        <w:jc w:val="center"/>
        <w:rPr>
          <w:rFonts w:cs="仿宋" w:asciiTheme="minorEastAsia" w:hAnsiTheme="minorEastAsia" w:eastAsiaTheme="minorEastAsia"/>
          <w:b/>
          <w:snapToGrid w:val="0"/>
          <w:kern w:val="0"/>
          <w:sz w:val="32"/>
          <w:szCs w:val="32"/>
        </w:rPr>
      </w:pPr>
      <w:bookmarkStart w:id="8" w:name="q6"/>
      <w:bookmarkEnd w:id="8"/>
      <w:r>
        <w:rPr>
          <w:rFonts w:hint="eastAsia" w:cs="仿宋" w:asciiTheme="minorEastAsia" w:hAnsiTheme="minorEastAsia" w:eastAsiaTheme="minorEastAsia"/>
          <w:b/>
          <w:snapToGrid w:val="0"/>
          <w:kern w:val="0"/>
          <w:sz w:val="32"/>
          <w:szCs w:val="32"/>
        </w:rPr>
        <w:t>Ｃ  投标文件的编写</w:t>
      </w:r>
    </w:p>
    <w:p w14:paraId="093BA640">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9. 投标语言及计量单位</w:t>
      </w:r>
    </w:p>
    <w:p w14:paraId="67070DC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9.1  投标文件及投标供应商和采购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就投标交换的文件和往来的信件，应以中文书写。</w:t>
      </w:r>
    </w:p>
    <w:p w14:paraId="3D48C96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9.2  除在征集文件的设计思路和方案中另有规定外，计量单位应使用中华人民共和国法定计量单位（国际单位制和国家选定的其他计量单位）。</w:t>
      </w:r>
    </w:p>
    <w:p w14:paraId="72CCA04C">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10. 投标文件的组成</w:t>
      </w:r>
    </w:p>
    <w:p w14:paraId="7D424D76">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  投标文件应包括下列部份：</w:t>
      </w:r>
    </w:p>
    <w:p w14:paraId="1D3D65D4">
      <w:pPr>
        <w:adjustRightInd w:val="0"/>
        <w:spacing w:line="360" w:lineRule="auto"/>
        <w:ind w:left="945" w:leftChars="100" w:hanging="735" w:hangingChars="3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10.1.1 开标信封：装有“法定代表人（负责人）证明书、法定代表人（负责人）授权委托书”和“开标一览表”单独密封的信封。</w:t>
      </w:r>
    </w:p>
    <w:p w14:paraId="0C2640C0">
      <w:pPr>
        <w:adjustRightInd w:val="0"/>
        <w:spacing w:line="360" w:lineRule="auto"/>
        <w:ind w:firstLine="210" w:firstLineChars="1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10.1.2 投标文件：</w:t>
      </w:r>
    </w:p>
    <w:p w14:paraId="0F966AE2">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（1）目录</w:t>
      </w:r>
    </w:p>
    <w:p w14:paraId="12F04323">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（2）政府采购违法行为风险知悉确认书</w:t>
      </w:r>
    </w:p>
    <w:p w14:paraId="46DD0324">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（3）评审指引表</w:t>
      </w:r>
    </w:p>
    <w:p w14:paraId="156725C1">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（4）声明函（格式1）</w:t>
      </w:r>
    </w:p>
    <w:p w14:paraId="2755DB9F">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（5）投标供应商资格证明文件（格式2）</w:t>
      </w:r>
    </w:p>
    <w:p w14:paraId="33506FF3">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（6）评分中涉及的承诺及声明函（格式3）</w:t>
      </w:r>
    </w:p>
    <w:p w14:paraId="180E116B">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w:t>
      </w:r>
      <w:r>
        <w:fldChar w:fldCharType="begin"/>
      </w:r>
      <w:r>
        <w:instrText xml:space="preserve"> HYPERLINK \l "q24" </w:instrText>
      </w:r>
      <w:r>
        <w:fldChar w:fldCharType="separate"/>
      </w:r>
      <w:r>
        <w:rPr>
          <w:rFonts w:hint="eastAsia" w:cs="仿宋" w:asciiTheme="minorEastAsia" w:hAnsiTheme="minorEastAsia" w:eastAsiaTheme="minorEastAsia"/>
          <w:szCs w:val="21"/>
        </w:rPr>
        <w:t>开标一览表</w:t>
      </w:r>
      <w:r>
        <w:rPr>
          <w:rFonts w:hint="eastAsia" w:cs="仿宋" w:asciiTheme="minorEastAsia" w:hAnsiTheme="minorEastAsia" w:eastAsiaTheme="minorEastAsia"/>
          <w:szCs w:val="21"/>
        </w:rPr>
        <w:fldChar w:fldCharType="end"/>
      </w:r>
      <w:r>
        <w:rPr>
          <w:rFonts w:hint="eastAsia" w:cs="仿宋" w:asciiTheme="minorEastAsia" w:hAnsiTheme="minorEastAsia" w:eastAsiaTheme="minorEastAsia"/>
          <w:snapToGrid w:val="0"/>
          <w:kern w:val="0"/>
          <w:szCs w:val="21"/>
        </w:rPr>
        <w:t>（格式4）</w:t>
      </w:r>
    </w:p>
    <w:p w14:paraId="2E036ADB">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（8）报价表（格式5）</w:t>
      </w:r>
    </w:p>
    <w:p w14:paraId="56E12141">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（9）服务方案（格式6）</w:t>
      </w:r>
    </w:p>
    <w:p w14:paraId="768BBE78">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（10）差异表（格式7）</w:t>
      </w:r>
    </w:p>
    <w:p w14:paraId="06ED343C">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bCs/>
          <w:snapToGrid w:val="0"/>
          <w:kern w:val="0"/>
          <w:szCs w:val="21"/>
        </w:rPr>
        <w:t>（11）其他</w:t>
      </w:r>
      <w:r>
        <w:rPr>
          <w:rFonts w:hint="eastAsia" w:cs="仿宋" w:asciiTheme="minorEastAsia" w:hAnsiTheme="minorEastAsia" w:eastAsiaTheme="minorEastAsia"/>
          <w:snapToGrid w:val="0"/>
          <w:kern w:val="0"/>
          <w:szCs w:val="21"/>
        </w:rPr>
        <w:t>征集文件</w:t>
      </w:r>
      <w:r>
        <w:rPr>
          <w:rFonts w:hint="eastAsia" w:cs="仿宋" w:asciiTheme="minorEastAsia" w:hAnsiTheme="minorEastAsia" w:eastAsiaTheme="minorEastAsia"/>
          <w:bCs/>
          <w:snapToGrid w:val="0"/>
          <w:kern w:val="0"/>
          <w:szCs w:val="21"/>
        </w:rPr>
        <w:t>要求的资料或投标供应商认为需要补充的资料</w:t>
      </w:r>
      <w:r>
        <w:rPr>
          <w:rFonts w:hint="eastAsia" w:cs="仿宋" w:asciiTheme="minorEastAsia" w:hAnsiTheme="minorEastAsia" w:eastAsiaTheme="minorEastAsia"/>
          <w:snapToGrid w:val="0"/>
          <w:kern w:val="0"/>
          <w:szCs w:val="21"/>
        </w:rPr>
        <w:t>（格式8）</w:t>
      </w:r>
    </w:p>
    <w:p w14:paraId="076A473C">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b/>
          <w:snapToGrid w:val="0"/>
          <w:kern w:val="0"/>
          <w:szCs w:val="21"/>
        </w:rPr>
        <w:t>11. 投标文件格式</w:t>
      </w:r>
    </w:p>
    <w:p w14:paraId="2B20F8EC">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11.1  投标文件必须毫无遗漏地包括本须知第10条规定的内容，投标供应商提交的投标文件必须毫无例外地使用征集文件所提供投标文件格式（表格可以按同样格式扩展）。</w:t>
      </w:r>
    </w:p>
    <w:p w14:paraId="10224EC9">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b/>
          <w:snapToGrid w:val="0"/>
          <w:color w:val="FF0000"/>
          <w:kern w:val="0"/>
          <w:szCs w:val="21"/>
          <w:highlight w:val="yellow"/>
        </w:rPr>
        <w:t>注：如征集文件第三部分投标格式与本须知第10条规定的内容不一致，以投标文件第三部分投标格式为准。</w:t>
      </w:r>
    </w:p>
    <w:p w14:paraId="5D21F9D0">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12. 投标报价</w:t>
      </w:r>
    </w:p>
    <w:p w14:paraId="6E27A01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12.1  投标报价应以人民币为结算单位。</w:t>
      </w:r>
    </w:p>
    <w:p w14:paraId="2AD17288">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12.2  投标供应商应在征集文件所附的“开标一览表”（格式3）和“报价表”（格式4）上写明投标货物的单价和投标总价。投标供应商对每种项目只允许有一个报价，采购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不接受有任何选择的报价。</w:t>
      </w:r>
    </w:p>
    <w:p w14:paraId="758AB5B7">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12.3  此报价作为评审委员会评审标准，但不能限制</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以其它方式签订合同的权力。</w:t>
      </w:r>
    </w:p>
    <w:p w14:paraId="6EC44AC7">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13. 投标供应商资格的证明文件</w:t>
      </w:r>
    </w:p>
    <w:p w14:paraId="2180F58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13.1  投标供应商必须提交证明其有资格进行投标，和中标后有能力履行合同的证明文件（格式1与格式2），作为投标文件的一部份。</w:t>
      </w:r>
    </w:p>
    <w:p w14:paraId="3446709B">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14. 投标有效期</w:t>
      </w:r>
    </w:p>
    <w:p w14:paraId="1BB3E117">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14.1  投标文件的有效期按前附表第7项规定。</w:t>
      </w:r>
    </w:p>
    <w:p w14:paraId="40EC5EEE">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14.2  特殊情况下，采购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可于投标有效期期满之前，要求投标供应商同意延长投标有效期。投标供应商可以拒绝或同意上述要求，但要求与答复均须是书面文件。对于同意该要求的投标供应商，采购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既不要求也不允许其修改投标文件。</w:t>
      </w:r>
    </w:p>
    <w:p w14:paraId="25E616F2">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15. 项目保证金</w:t>
      </w:r>
    </w:p>
    <w:p w14:paraId="3A0FF833">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15.1  以下有关项目保证金的条款仅适用于需要缴纳项目保证金的项目。是否需要缴纳项目保证金以《投标须知前附表》中的规定或说明为准。</w:t>
      </w:r>
    </w:p>
    <w:p w14:paraId="0F4488A5">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15.2  投标供应商应向采购代理机构提交一笔不少于前附表第8项所规定的项目保证金，以到账为准。</w:t>
      </w:r>
    </w:p>
    <w:p w14:paraId="7F64E218">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15.3  项目保证金用于保护本次采购免受投标供应商的行为而引起的风险。</w:t>
      </w:r>
    </w:p>
    <w:p w14:paraId="3DC6751C">
      <w:pPr>
        <w:adjustRightInd w:val="0"/>
        <w:spacing w:line="288" w:lineRule="auto"/>
        <w:ind w:left="630" w:hanging="630" w:hanging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15.4  项目保证金应以支票、汇票、本票或采购机构能够接受的银行保函等其它非现金形式提交。（注：必须从投标供应商基本账户转出，否则其投标无效。）</w:t>
      </w:r>
    </w:p>
    <w:p w14:paraId="44B24C3B">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15.5  未按规定提交项目保证金的投标，将被视为无效投标。</w:t>
      </w:r>
    </w:p>
    <w:p w14:paraId="7405B0EB">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15.6  未中标的投标供应商的项目保证金，采购代理机构将在中标通知书发出且收到投标供应商的《项目保证金退还申请表》后5个工作日内退还。</w:t>
      </w:r>
    </w:p>
    <w:p w14:paraId="3363A05E">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15.7  中标方的项目保证金，采购代理机构将在中标方签订合同并支付采购代理服务费后5个工作日内退还。</w:t>
      </w:r>
    </w:p>
    <w:p w14:paraId="0175F913">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15.8  发生以下情况项目保证金将被没收：</w:t>
      </w:r>
    </w:p>
    <w:p w14:paraId="59C2E023">
      <w:pPr>
        <w:adjustRightInd w:val="0"/>
        <w:spacing w:line="288" w:lineRule="auto"/>
        <w:ind w:left="630" w:hanging="630" w:hanging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（1）投标供应商在投标有效期内撤销投标文件；</w:t>
      </w:r>
    </w:p>
    <w:p w14:paraId="5B2D53E9">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（2）投标供应商串通投标或者以其他弄虚作假方式投标；</w:t>
      </w:r>
    </w:p>
    <w:p w14:paraId="705CF771">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（3）如果中标方未能做到：</w:t>
      </w:r>
    </w:p>
    <w:p w14:paraId="4E799072">
      <w:pPr>
        <w:adjustRightInd w:val="0"/>
        <w:spacing w:line="288" w:lineRule="auto"/>
        <w:ind w:firstLine="630" w:firstLine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按本须知第32条规定签订合同；</w:t>
      </w:r>
    </w:p>
    <w:p w14:paraId="167CDB94">
      <w:pPr>
        <w:adjustRightInd w:val="0"/>
        <w:spacing w:line="288" w:lineRule="auto"/>
        <w:ind w:firstLine="630" w:firstLine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按本须知第33条规定提供履约保证金；</w:t>
      </w:r>
    </w:p>
    <w:p w14:paraId="3970820B">
      <w:pPr>
        <w:adjustRightInd w:val="0"/>
        <w:spacing w:line="288" w:lineRule="auto"/>
        <w:ind w:firstLine="630" w:firstLine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按本须知第34条规定缴纳采购代理服务费。</w:t>
      </w:r>
    </w:p>
    <w:p w14:paraId="71B79ACE">
      <w:pPr>
        <w:pStyle w:val="9"/>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（4） 法律法规规定的其它情况。</w:t>
      </w:r>
    </w:p>
    <w:p w14:paraId="20B5D804">
      <w:pPr>
        <w:tabs>
          <w:tab w:val="left" w:pos="330"/>
        </w:tabs>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16. 投标预备会（</w:t>
      </w:r>
      <w:r>
        <w:rPr>
          <w:rFonts w:hint="eastAsia" w:cs="仿宋" w:asciiTheme="minorEastAsia" w:hAnsiTheme="minorEastAsia" w:eastAsiaTheme="minorEastAsia"/>
          <w:b/>
          <w:snapToGrid w:val="0"/>
          <w:kern w:val="0"/>
          <w:szCs w:val="21"/>
        </w:rPr>
        <w:t>答疑会）</w:t>
      </w:r>
    </w:p>
    <w:p w14:paraId="7F11DAB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16.1  投标预备会（答疑会），如采购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认为有必要召开投标预备会，投标供应商应按照前附表第9项规定的或采购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另行书面通知的时间和地点，派出代表出席采购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主持的投标预备会。</w:t>
      </w:r>
    </w:p>
    <w:p w14:paraId="62E4CB30">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16.2  投标预备会的目的是澄清、解答投标供应商在查阅征集文件后和现场踏勘中可能提出的任何方面的问题。 </w:t>
      </w:r>
    </w:p>
    <w:p w14:paraId="3778E70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16.3  投标供应商提出的与投标有关的任何采购问题须以书面形式给采购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。在投标预备会上，采购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将做出澄清和解答。</w:t>
      </w:r>
    </w:p>
    <w:p w14:paraId="47C3DB5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16.4  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在投标预备会上所做出的澄清和解答，以书面答复为准，投标供应商在收到投标答疑纪要时应以书面形式予以确认。答疑纪要的有效性规定按照本须知第8.2、8.4款规定执行。</w:t>
      </w:r>
    </w:p>
    <w:p w14:paraId="209B7E39">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16.5  未出席投标预备会不作为否定投标供应商资格的理由。</w:t>
      </w:r>
    </w:p>
    <w:p w14:paraId="6EB92D0B">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17. 投标文件的份数和签署</w:t>
      </w:r>
    </w:p>
    <w:p w14:paraId="2520F9D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17.1  投标文件数量按前附表第10项所述，须在每一份投标文件上明确注明“正本”或“副本”字样。一旦正本和副本有差异，以正本为准。</w:t>
      </w:r>
    </w:p>
    <w:p w14:paraId="50988B3E">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17.2  为了便于投标文件保存，需提交</w:t>
      </w:r>
      <w:r>
        <w:rPr>
          <w:rFonts w:hint="eastAsia" w:cs="仿宋" w:asciiTheme="minorEastAsia" w:hAnsiTheme="minorEastAsia"/>
        </w:rPr>
        <w:t>电子备份光盘（或U盘）1份（含投标文件正本盖章扫描件及投标文件WORD文档）。</w:t>
      </w:r>
    </w:p>
    <w:p w14:paraId="40CD221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17.3  投标文件正本及开标一览表须打印，并经法定代表人或其授权代表签字和盖章，投标文件的副本可采用正本复印件。</w:t>
      </w:r>
    </w:p>
    <w:p w14:paraId="12E83AED">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17.4  除投标供应商对错处做必要修改外，投标文件中不许有加行、涂抹或改写，如有修改遗漏处，必须由投标供应商法定代表人或其授权代表签字和盖章。</w:t>
      </w:r>
    </w:p>
    <w:p w14:paraId="7D7DDFCC">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17.5  电报、电话、传真形式的投标概不接受。</w:t>
      </w:r>
    </w:p>
    <w:p w14:paraId="39ED5B4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17.6  投标文件不符合上述规定，为无效投标。</w:t>
      </w:r>
    </w:p>
    <w:p w14:paraId="4EBB21D4">
      <w:pPr>
        <w:adjustRightInd w:val="0"/>
        <w:spacing w:line="360" w:lineRule="auto"/>
        <w:rPr>
          <w:rFonts w:cs="仿宋" w:asciiTheme="minorEastAsia" w:hAnsiTheme="minorEastAsia" w:eastAsiaTheme="minorEastAsia"/>
          <w:snapToGrid w:val="0"/>
          <w:kern w:val="0"/>
          <w:szCs w:val="21"/>
        </w:rPr>
      </w:pPr>
    </w:p>
    <w:p w14:paraId="653D0C7C">
      <w:pPr>
        <w:adjustRightInd w:val="0"/>
        <w:spacing w:line="360" w:lineRule="auto"/>
        <w:jc w:val="center"/>
        <w:rPr>
          <w:rFonts w:cs="仿宋" w:asciiTheme="minorEastAsia" w:hAnsiTheme="minorEastAsia" w:eastAsiaTheme="minorEastAsia"/>
          <w:b/>
          <w:snapToGrid w:val="0"/>
          <w:kern w:val="0"/>
          <w:sz w:val="32"/>
          <w:szCs w:val="32"/>
        </w:rPr>
      </w:pPr>
      <w:bookmarkStart w:id="9" w:name="q7"/>
      <w:bookmarkEnd w:id="9"/>
      <w:r>
        <w:rPr>
          <w:rFonts w:hint="eastAsia" w:cs="仿宋" w:asciiTheme="minorEastAsia" w:hAnsiTheme="minorEastAsia" w:eastAsiaTheme="minorEastAsia"/>
          <w:b/>
          <w:snapToGrid w:val="0"/>
          <w:kern w:val="0"/>
          <w:sz w:val="32"/>
          <w:szCs w:val="32"/>
        </w:rPr>
        <w:t>Ｄ   投标文件的递交</w:t>
      </w:r>
    </w:p>
    <w:p w14:paraId="0289E281">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18. 投标文件的密封和标记</w:t>
      </w:r>
    </w:p>
    <w:p w14:paraId="6261DBC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18.1须在每一份投标文件封面上明确注明“正本”或“副本”字样。一旦正本和副本有差异，以正本为准。</w:t>
      </w:r>
    </w:p>
    <w:p w14:paraId="4AB9A1D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18.2投标文件完整密封（包含两份正本和四份副本）。</w:t>
      </w:r>
    </w:p>
    <w:p w14:paraId="01F341F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18.3投标供应商应将投标文件正文扫描件电子档单独密封于一信封，在信封上注明“备份电子档”。</w:t>
      </w:r>
    </w:p>
    <w:p w14:paraId="3B0CB913">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18.4 将按本须知第18.2、18.3款密封好的“投标文件”和“备份电子档”一起封装在一个外层包封中，同时还应：</w:t>
      </w:r>
    </w:p>
    <w:p w14:paraId="07427911">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写明采购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名称；</w:t>
      </w:r>
    </w:p>
    <w:p w14:paraId="6580B6FD">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注明下列识别标志：</w:t>
      </w:r>
    </w:p>
    <w:p w14:paraId="45CAC104">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A、项目编号；</w:t>
      </w:r>
    </w:p>
    <w:p w14:paraId="4F71AAF2">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B、项目名称；</w:t>
      </w:r>
    </w:p>
    <w:p w14:paraId="33D50F25">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C、投标供应商名称；</w:t>
      </w:r>
    </w:p>
    <w:p w14:paraId="53FBACE5">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D、</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年</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月</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日</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时</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分（开标时间）前不得开封。</w:t>
      </w:r>
    </w:p>
    <w:p w14:paraId="772CF02E">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18.5  投标供应商应将“法定代表人（负责人）证明书、法定代表人（负责人）授权委托书”和“开标一览表”密封于一信封，在递交投标文件时单独交与采购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，在信封上应：</w:t>
      </w:r>
    </w:p>
    <w:p w14:paraId="198FA9B0">
      <w:pPr>
        <w:tabs>
          <w:tab w:val="left" w:pos="1470"/>
        </w:tabs>
        <w:adjustRightInd w:val="0"/>
        <w:spacing w:line="360" w:lineRule="auto"/>
        <w:ind w:left="629" w:leftChars="172" w:hanging="268" w:hangingChars="128"/>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写明采购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名称；</w:t>
      </w:r>
    </w:p>
    <w:p w14:paraId="2FCF387B">
      <w:pPr>
        <w:tabs>
          <w:tab w:val="left" w:pos="1470"/>
        </w:tabs>
        <w:adjustRightInd w:val="0"/>
        <w:spacing w:line="360" w:lineRule="auto"/>
        <w:ind w:left="629" w:leftChars="172" w:hanging="268" w:hangingChars="128"/>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注明下列识别标志：</w:t>
      </w:r>
    </w:p>
    <w:p w14:paraId="68D042C2">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A、项目编号；</w:t>
      </w:r>
    </w:p>
    <w:p w14:paraId="08EBA3ED">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B、项目名称；</w:t>
      </w:r>
    </w:p>
    <w:p w14:paraId="4FE314FF">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C、投标供应商名称；</w:t>
      </w:r>
    </w:p>
    <w:p w14:paraId="5C9C99BB">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D、注明：“开标一览表”和“法定代表人（负责人）证明书、法定代表人（负责人）授权委托书”</w:t>
      </w:r>
    </w:p>
    <w:p w14:paraId="2999666D">
      <w:pPr>
        <w:adjustRightInd w:val="0"/>
        <w:spacing w:line="360" w:lineRule="auto"/>
        <w:ind w:firstLine="525" w:firstLineChars="2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E、</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年</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月</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日</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时</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分（开标时间）前不得开封。</w:t>
      </w:r>
    </w:p>
    <w:p w14:paraId="0D8658D7">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18.6  除了按本须知第18.4、18.5款所要求的识别字样外，在所有投标文件密封袋上还应写明投标供应商的名称与地址、邮政编码，以便投标按本须知第20条宣布“迟到”时，投标文件可以原封退回；</w:t>
      </w:r>
    </w:p>
    <w:p w14:paraId="33F4506E">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18.7  如果投标文件没有按本投标须知第18.1至18.6款规定加写标记和密封，采购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将拒收或者告知投标供应商，采购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将不承担投标文件错放或提前开封的责任。对由此造成的提前开封的投标文件将予以拒绝，并退还给投标供应商；</w:t>
      </w:r>
    </w:p>
    <w:p w14:paraId="16C6566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18.8  所有投标文件的密封袋的封口处应加盖投标供应商印章。</w:t>
      </w:r>
    </w:p>
    <w:p w14:paraId="27DA2BD8">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18.9  投标文件需由专人送交。投标供应商应按本投标须知第18.1至18.8款中的规定进行密封和标记后，将投标文件按照前附表第11项中注明的地址送至采购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w:t>
      </w:r>
    </w:p>
    <w:p w14:paraId="58F37D1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18.10  投标供应商按征集文件要求如需提供实物，应随投标文件一起递交。</w:t>
      </w:r>
    </w:p>
    <w:p w14:paraId="218C58B9">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19. 递交投标文件的时间、地点以及截止时间</w:t>
      </w:r>
    </w:p>
    <w:p w14:paraId="4935BE31">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19.1  递交投标文件的地点与开标仪式的地点相同。</w:t>
      </w:r>
    </w:p>
    <w:p w14:paraId="07CA6DE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19.2  所有投标文件都必须按采购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在前附表第</w:t>
      </w:r>
      <w:bookmarkStart w:id="10" w:name="_Hlt35050056"/>
      <w:bookmarkEnd w:id="10"/>
      <w:r>
        <w:rPr>
          <w:rFonts w:hint="eastAsia" w:cs="仿宋" w:asciiTheme="minorEastAsia" w:hAnsiTheme="minorEastAsia" w:eastAsiaTheme="minorEastAsia"/>
          <w:snapToGrid w:val="0"/>
          <w:kern w:val="0"/>
          <w:szCs w:val="21"/>
        </w:rPr>
        <w:t>12项中规定的投标截止时间之前送至采购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w:t>
      </w:r>
    </w:p>
    <w:p w14:paraId="5B523CA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19.3  出现第8.3款因征集文件修改或其他原因推迟投标截止时，则按采购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修改通知规定的时间递交。</w:t>
      </w:r>
    </w:p>
    <w:p w14:paraId="022760C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19.4  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在投标截止时间前30分钟开始接收投标文件。</w:t>
      </w:r>
    </w:p>
    <w:p w14:paraId="0E885630">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20. 迟交的投标文件</w:t>
      </w:r>
    </w:p>
    <w:p w14:paraId="2FAFAE46">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20.1  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将拒绝接收在投标截止时间后递交的投标文件。</w:t>
      </w:r>
    </w:p>
    <w:p w14:paraId="5CAEA8CD">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21. 投标文件的修改和撤回</w:t>
      </w:r>
    </w:p>
    <w:p w14:paraId="75604FEA">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21.1  投标供应商在提交投标文件后可对其投标文件进行修改或撤回，但采购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须在投标截止时间之前收到该修改或撤回的书面通知，该通知须有经正式授权的投标供应商代表签字。</w:t>
      </w:r>
    </w:p>
    <w:p w14:paraId="2B125E33">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21.2  投标供应商对投标文件修改的书面材料或撤回的通知应按本须知第17条和第18条规定进行编写、密封、标注和递交，并注明“修改投标文件”或“撤回投标”字样。</w:t>
      </w:r>
    </w:p>
    <w:p w14:paraId="27C0DF48">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21.3  投标截止时间以后不得修改投标文件。</w:t>
      </w:r>
    </w:p>
    <w:p w14:paraId="0BBFFB11">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21.4  投标供应商不得在开标时间起到投标文件有效期满前撤销投标文件。</w:t>
      </w:r>
    </w:p>
    <w:p w14:paraId="48BFD3F1">
      <w:pPr>
        <w:rPr>
          <w:rFonts w:cs="仿宋" w:asciiTheme="minorEastAsia" w:hAnsiTheme="minorEastAsia" w:eastAsiaTheme="minorEastAsia"/>
        </w:rPr>
      </w:pPr>
      <w:bookmarkStart w:id="11" w:name="q8"/>
      <w:bookmarkEnd w:id="11"/>
    </w:p>
    <w:p w14:paraId="3E7D3DCF">
      <w:pPr>
        <w:adjustRightInd w:val="0"/>
        <w:spacing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Ｅ   开标和评审</w:t>
      </w:r>
    </w:p>
    <w:p w14:paraId="2748A5E8">
      <w:pPr>
        <w:tabs>
          <w:tab w:val="left" w:pos="0"/>
        </w:tabs>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22. 开标</w:t>
      </w:r>
    </w:p>
    <w:p w14:paraId="27CDAB61">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22.1  采购代理机构在前附表第11项规定的时间和地点公开开标。</w:t>
      </w:r>
    </w:p>
    <w:p w14:paraId="56777CAC">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22.2  所有投标供应商法定代表人（负责人）或授权代表都须按时参加开标会，否则不接受其投标。【</w:t>
      </w:r>
      <w:r>
        <w:rPr>
          <w:rFonts w:hint="eastAsia" w:cs="仿宋" w:asciiTheme="minorEastAsia" w:hAnsiTheme="minorEastAsia" w:eastAsiaTheme="minorEastAsia"/>
          <w:b/>
          <w:bCs/>
          <w:snapToGrid w:val="0"/>
          <w:color w:val="FF0000"/>
          <w:kern w:val="0"/>
          <w:szCs w:val="21"/>
          <w:highlight w:val="yellow"/>
        </w:rPr>
        <w:t>如是邮寄标书，可以不用到现场参与</w:t>
      </w:r>
      <w:r>
        <w:rPr>
          <w:rFonts w:hint="eastAsia" w:cs="仿宋" w:asciiTheme="minorEastAsia" w:hAnsiTheme="minorEastAsia" w:eastAsiaTheme="minorEastAsia"/>
          <w:snapToGrid w:val="0"/>
          <w:kern w:val="0"/>
          <w:szCs w:val="21"/>
        </w:rPr>
        <w:t>】</w:t>
      </w:r>
    </w:p>
    <w:p w14:paraId="6AF8343F">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  开标时，采购代理机构将检查投标文件的密封情况，在确认无误后拆封唱标。唱标主要内容为下面几点并做好唱标记录。</w:t>
      </w:r>
    </w:p>
    <w:p w14:paraId="13E800B9">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22.3.1  核对法定代表人（负责人）或其授权代表身份证明，若不能提供相应的身份证明或不相符，则视为无效投标。 </w:t>
      </w:r>
    </w:p>
    <w:p w14:paraId="30593B28">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22.3.2  投标文件中“开标一览表”的内容。</w:t>
      </w:r>
    </w:p>
    <w:p w14:paraId="32B91645">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22.3.3  采购代理机构认为合适的其他内容。</w:t>
      </w:r>
    </w:p>
    <w:p w14:paraId="27DA33D0">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23. 评审委员会</w:t>
      </w:r>
    </w:p>
    <w:p w14:paraId="2F29A2D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23.1采购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将根据采购货物的特点组建评审委员会，其成员由</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代表</w:t>
      </w:r>
      <w:r>
        <w:rPr>
          <w:rFonts w:hint="eastAsia" w:cs="仿宋" w:asciiTheme="minorEastAsia" w:hAnsiTheme="minorEastAsia" w:eastAsiaTheme="minorEastAsia"/>
          <w:bCs/>
          <w:snapToGrid w:val="0"/>
          <w:kern w:val="0"/>
          <w:szCs w:val="21"/>
        </w:rPr>
        <w:t>和有关技术、经济等方面的</w:t>
      </w:r>
      <w:r>
        <w:rPr>
          <w:rFonts w:hint="eastAsia" w:cs="仿宋" w:asciiTheme="minorEastAsia" w:hAnsiTheme="minorEastAsia" w:eastAsiaTheme="minorEastAsia"/>
          <w:snapToGrid w:val="0"/>
          <w:kern w:val="0"/>
          <w:szCs w:val="21"/>
        </w:rPr>
        <w:t>专家组成。评审委员会对投标文件进行审查、质疑、评估和比较。</w:t>
      </w:r>
    </w:p>
    <w:p w14:paraId="43729E3E">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23.2 评审期间，投标供应商应由法定代表人或其授权代表参加询标。</w:t>
      </w:r>
    </w:p>
    <w:p w14:paraId="00C4EA37">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23.3评审委员会成员对需要共同认定的事项存在争议的，应当按照少数服从多数的原则作出结论。持不同意见的评审委员会成员应当在评审报告上签署不同意见及理由，否则视为同意评审报告。</w:t>
      </w:r>
    </w:p>
    <w:p w14:paraId="1C3ABF21">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24. 对投标文件的审查和投标性的确定</w:t>
      </w:r>
    </w:p>
    <w:p w14:paraId="42CBE4F8">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24.1  采购机构就投标文件中的资格证明文件内容对投标供应商进行资格核查：</w:t>
      </w:r>
    </w:p>
    <w:p w14:paraId="4BDD670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24.1.1采购机构就投标文件中的资格证明等内容对投标供应商进行资格核查，核查不合格的，认定其投标无效。</w:t>
      </w:r>
    </w:p>
    <w:p w14:paraId="6CADC29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  评审委员会将投标文件进行符合性审查：</w:t>
      </w:r>
    </w:p>
    <w:p w14:paraId="24EF167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24.2.1  评审委员会将审查投标文件是否完整、总体编排是否有序、文件签署是否合格、有无计算上的错误等。</w:t>
      </w:r>
    </w:p>
    <w:p w14:paraId="47BE64B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24.2.2  算术错误将按以下方法更正（次序排先者优先）：</w:t>
      </w:r>
    </w:p>
    <w:p w14:paraId="2822C4EE">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 （1）开标一览表内容与投标文件中相应内容不一致的，以开标一览表为准；</w:t>
      </w:r>
    </w:p>
    <w:p w14:paraId="742F0C26">
      <w:pPr>
        <w:adjustRightInd w:val="0"/>
        <w:spacing w:line="360" w:lineRule="auto"/>
        <w:ind w:firstLine="105" w:firstLineChars="50"/>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（2）</w:t>
      </w:r>
      <w:r>
        <w:rPr>
          <w:rFonts w:hint="eastAsia" w:cs="仿宋" w:asciiTheme="minorEastAsia" w:hAnsiTheme="minorEastAsia" w:eastAsiaTheme="minorEastAsia"/>
          <w:szCs w:val="21"/>
        </w:rPr>
        <w:t>大写金额和小写金额不一致的，以大写金额为准；</w:t>
      </w:r>
    </w:p>
    <w:p w14:paraId="53076250">
      <w:pPr>
        <w:adjustRightInd w:val="0"/>
        <w:spacing w:line="360" w:lineRule="auto"/>
        <w:ind w:firstLine="105" w:firstLineChars="50"/>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（3）</w:t>
      </w:r>
      <w:r>
        <w:rPr>
          <w:rFonts w:hint="eastAsia" w:cs="仿宋" w:asciiTheme="minorEastAsia" w:hAnsiTheme="minorEastAsia" w:eastAsiaTheme="minorEastAsia"/>
          <w:szCs w:val="21"/>
        </w:rPr>
        <w:t>单价金额小数点或者百分比有明显错位的，以开标一览表的总价为准，并修改单价；</w:t>
      </w:r>
    </w:p>
    <w:p w14:paraId="698D6118">
      <w:pPr>
        <w:adjustRightInd w:val="0"/>
        <w:spacing w:line="360" w:lineRule="auto"/>
        <w:ind w:firstLine="105" w:firstLineChars="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w:t>
      </w:r>
      <w:r>
        <w:rPr>
          <w:rFonts w:hint="eastAsia" w:cs="仿宋" w:asciiTheme="minorEastAsia" w:hAnsiTheme="minorEastAsia" w:eastAsiaTheme="minorEastAsia"/>
          <w:szCs w:val="21"/>
        </w:rPr>
        <w:t>总价金额与按单价汇总金额不一致的，以单价金额计算结果为准。</w:t>
      </w:r>
    </w:p>
    <w:p w14:paraId="09B26C87">
      <w:pPr>
        <w:adjustRightInd w:val="0"/>
        <w:spacing w:line="360" w:lineRule="auto"/>
        <w:ind w:left="210" w:hanging="210" w:hangingChars="100"/>
        <w:rPr>
          <w:rFonts w:cs="仿宋" w:asciiTheme="minorEastAsia" w:hAnsiTheme="minorEastAsia" w:eastAsiaTheme="minorEastAsia"/>
          <w:snapToGrid w:val="0"/>
          <w:kern w:val="0"/>
          <w:szCs w:val="21"/>
        </w:rPr>
      </w:pPr>
      <w:r>
        <w:rPr>
          <w:rFonts w:hint="eastAsia" w:cs="仿宋" w:asciiTheme="minorEastAsia" w:hAnsiTheme="minorEastAsia" w:eastAsiaTheme="minorEastAsia"/>
          <w:szCs w:val="21"/>
        </w:rPr>
        <w:t xml:space="preserve">     同时出现两种以上不一致的，按照前款规定的顺序修正。修正后的报价按照本须知25.2条的规定，经投标供应商确认后产生约束力，投标供应商不确认的，其投标无效。</w:t>
      </w:r>
    </w:p>
    <w:p w14:paraId="3CB2BF13">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24.2.3  在对投标文件进行详细评估之前，评审委员会将依据投标供应商提供的“资格证明或声明文件”审查投标供应商的财务、技术和生产能力。如果确定投标供应商无资格履行合同，其投标将被拒绝。</w:t>
      </w:r>
    </w:p>
    <w:p w14:paraId="6297FEEC">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24.2.4  评审委员会将确定每份投标是否对征集文件的要求，作出了实质性的响应而没有重大偏离。实质性响应的投标是指符合征集文件的所有条款、条件和规定，且没有重大偏离或保留。重大偏离或保留系指影响到征集文件规定的范围、质量和性能，或限制了</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的权力和投标供应商的义务的规定。而纠正这些偏离将影响到其它提交实质性响应的投标供应商的公平竞争地位。</w:t>
      </w:r>
    </w:p>
    <w:p w14:paraId="1851BA20">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24.2.5  评审委员会判断投标文件的投标性，仅基于征集文件和投标文件本身而不靠外部证据。</w:t>
      </w:r>
    </w:p>
    <w:p w14:paraId="3DE61334">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24.2.6  评审委员会将拒绝被确定为非实质性投标的投标供应商。投标供应商不能通过修正或撤销不符之处，而使其投标成为实质性投标的投标。</w:t>
      </w:r>
    </w:p>
    <w:p w14:paraId="2A18AABA">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24.2.7  评审委员会允许修改投标中不构成重大偏离的、微小的、非正规、不一致或不规则的地方。</w:t>
      </w:r>
    </w:p>
    <w:p w14:paraId="2BA7CAA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24.2.8  评审委员会认为投标供应商的报价明显低于其他通过符合性审查投标供应商的报价，有可能影响产品质量或者不能诚信履约的，应当要求其在评审现场合理的时间内提供书面说明，必要时提交相关证明材料；投标供应商不能证明其报价合理性的，评审委员会应当将其作为无效投标处理。若评审委员会成员对是否须由投标供应商作出报价合理性说明，以及书面说明是否采纳等判断不一致的，按照“少数服从多数”的原则确定评审委员会的意见</w:t>
      </w:r>
    </w:p>
    <w:p w14:paraId="6DB58916">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25. 投标文件的澄清</w:t>
      </w:r>
    </w:p>
    <w:p w14:paraId="23DAD34C">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25.1  为了有助于对投标文件进行审查、评估和比较，</w:t>
      </w:r>
      <w:r>
        <w:rPr>
          <w:rFonts w:hint="eastAsia" w:cs="仿宋" w:asciiTheme="minorEastAsia" w:hAnsiTheme="minorEastAsia" w:eastAsiaTheme="minorEastAsia"/>
          <w:bCs/>
          <w:snapToGrid w:val="0"/>
          <w:kern w:val="0"/>
          <w:szCs w:val="21"/>
        </w:rPr>
        <w:t>评审委员会</w:t>
      </w:r>
      <w:r>
        <w:rPr>
          <w:rFonts w:hint="eastAsia" w:cs="仿宋" w:asciiTheme="minorEastAsia" w:hAnsiTheme="minorEastAsia" w:eastAsiaTheme="minorEastAsia"/>
          <w:snapToGrid w:val="0"/>
          <w:kern w:val="0"/>
          <w:szCs w:val="21"/>
        </w:rPr>
        <w:t>有权向投标供应商提出质疑，并请投标供应商澄清其投标内容。投标供应商有责任，按照采购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通知的时间、地点，指派专人进行答疑和澄清。</w:t>
      </w:r>
    </w:p>
    <w:p w14:paraId="6118507E">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25.2  澄清、答复应是书面的，但不得对投标内容进行实质性修改。</w:t>
      </w:r>
    </w:p>
    <w:p w14:paraId="553803AE">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26. 评审方法和详细评审</w:t>
      </w:r>
    </w:p>
    <w:p w14:paraId="4D94462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26.1 评委会将按照本须知第24条规定只对确定为实质上投标的投标文件进行评价和比较。</w:t>
      </w:r>
    </w:p>
    <w:p w14:paraId="0FA45ED9">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26.2 评审的基础应是本须知第12条规定的投标报价。</w:t>
      </w:r>
    </w:p>
    <w:p w14:paraId="1FD96617">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26.3 评审委员会将对低于成本价格的投标作无效投标处理。</w:t>
      </w:r>
    </w:p>
    <w:p w14:paraId="3F1BE9EF">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26.4 评委会在评审时，应按照评审信息量化的评审因素，对各投标文件进行分析和评审。</w:t>
      </w:r>
    </w:p>
    <w:p w14:paraId="299BB893">
      <w:pPr>
        <w:adjustRightInd w:val="0"/>
        <w:spacing w:line="360" w:lineRule="auto"/>
        <w:rPr>
          <w:rFonts w:cs="仿宋" w:asciiTheme="minorEastAsia" w:hAnsiTheme="minorEastAsia" w:eastAsiaTheme="minorEastAsia"/>
          <w:snapToGrid w:val="0"/>
          <w:kern w:val="0"/>
          <w:szCs w:val="21"/>
        </w:rPr>
      </w:pPr>
      <w:bookmarkStart w:id="12" w:name="q9"/>
      <w:bookmarkEnd w:id="12"/>
      <w:r>
        <w:rPr>
          <w:rFonts w:hint="eastAsia" w:cs="仿宋" w:asciiTheme="minorEastAsia" w:hAnsiTheme="minorEastAsia" w:eastAsiaTheme="minorEastAsia"/>
          <w:snapToGrid w:val="0"/>
          <w:kern w:val="0"/>
          <w:szCs w:val="21"/>
        </w:rPr>
        <w:t>26.5评委会按照征集文件规定的各项因素对各投标文件进行量化打分并加权汇总，对各评委的总评分取算术平均值确定该投标供应商的评审总得分(精确至小数点后二位)，评审总得分最高者将被推荐为中标供应商，并作出评审结论。若得分相同的，按投标报价由低到高顺序排列；得分且投标报价相同的，按技术服务优劣顺序（即技术分由高到低排序）排列。</w:t>
      </w:r>
    </w:p>
    <w:p w14:paraId="3A88A73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26.6评审报告是评审委员会根据全体评审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在案。</w:t>
      </w:r>
    </w:p>
    <w:p w14:paraId="5CBA0B62">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27. 保密及其它注意事项</w:t>
      </w:r>
    </w:p>
    <w:p w14:paraId="1B18DD66">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27.1  评审是采购工作的重要环节，评审工作在评委会内独立进行。评委会将遵照评审原则，公正、平等地对待所有投标供应商。</w:t>
      </w:r>
    </w:p>
    <w:p w14:paraId="7BBB371D">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27.2  评审期间，评委会将对投标文件中有关问题分别向投标供应商进行询问。各投标供应商应予以认真答复。重要或复杂问题的答复需以书面形式，并经法定代表人或授权人签署。澄清文件将作为投标文件的组成部份。</w:t>
      </w:r>
    </w:p>
    <w:p w14:paraId="65E38D49">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27.3  在开标、投标期间，投标供应商不得向评委询问评审情况，不得进行旨在影响评审结果的活动。</w:t>
      </w:r>
    </w:p>
    <w:p w14:paraId="24AAD909">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27.4  为保证定标的公正性，在评审过程中，评委不得与投标供应商私下交换意见。在采购工作结束后，凡与评审情况有接触的任何人，不得也不应将评审情况扩散出评委人员之外。</w:t>
      </w:r>
    </w:p>
    <w:p w14:paraId="4CEEEF70">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27.5  评委会不向落标方解释落标原因，不退还投标文件。</w:t>
      </w:r>
    </w:p>
    <w:p w14:paraId="5A2E1546">
      <w:pPr>
        <w:rPr>
          <w:rFonts w:cs="仿宋" w:asciiTheme="minorEastAsia" w:hAnsiTheme="minorEastAsia" w:eastAsiaTheme="minorEastAsia"/>
        </w:rPr>
      </w:pPr>
    </w:p>
    <w:p w14:paraId="4CA7A92D">
      <w:pPr>
        <w:adjustRightInd w:val="0"/>
        <w:spacing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Ｆ　　授予合同</w:t>
      </w:r>
    </w:p>
    <w:p w14:paraId="58885F57">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28．合同授予标准</w:t>
      </w:r>
    </w:p>
    <w:p w14:paraId="01FBDB25">
      <w:pPr>
        <w:tabs>
          <w:tab w:val="left" w:pos="5688"/>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    本项目采购合同授予本须知26.5款所确定的中标供应商。</w:t>
      </w:r>
    </w:p>
    <w:p w14:paraId="6B69BADD">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29. 中标通知</w:t>
      </w:r>
    </w:p>
    <w:p w14:paraId="65DE3F1B">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29.1  采购机构在发出《中标通知书》之前，将中标结果通过政府采购指定网站进行公示。中标结果公示期满无异议或者异议不成立的，采购机构将发出《中标通知书》。《中标通知书》一经发出即发生法律效力。 </w:t>
      </w:r>
    </w:p>
    <w:p w14:paraId="0FF8B43E">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29.2 《中标通知书》将作为签订合同的重要依据。</w:t>
      </w:r>
    </w:p>
    <w:p w14:paraId="6F75292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29.3  中标方向采购代理机构支付采购代理服务费后，采购代理机构发出《中标通知书》。</w:t>
      </w:r>
    </w:p>
    <w:p w14:paraId="7D396CDD">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30. 授予合同时变更数量的权力</w:t>
      </w:r>
    </w:p>
    <w:p w14:paraId="71E87D9D">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30.1  </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在签订合同时，有权对征集文件中列明的货物或服务的数量，在法定范围内，依法定程序予以增加或减少。</w:t>
      </w:r>
    </w:p>
    <w:p w14:paraId="3863AC6E">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31. 签订合同</w:t>
      </w:r>
    </w:p>
    <w:p w14:paraId="713F30F2">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31.1  中标方应按《中标通知书》或按</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指定的时间、地点与</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签订合同。</w:t>
      </w:r>
    </w:p>
    <w:p w14:paraId="6BFF97A0">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31.2  征集文件、中标方的投标文件及其澄清文件等，均为签订合同的依据。</w:t>
      </w:r>
    </w:p>
    <w:p w14:paraId="40C3DAAF">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32.  履约保证金</w:t>
      </w:r>
    </w:p>
    <w:p w14:paraId="6882FAC5">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32.1  中标供应商须按征集文件的规定或根据合同的规定向</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提交履约保证金。</w:t>
      </w:r>
    </w:p>
    <w:p w14:paraId="40C43CA5">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33. 采购代理服务费</w:t>
      </w:r>
    </w:p>
    <w:p w14:paraId="0EB6DFF8">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33.1  采购代理服务费按前附表第14项所述，最低收取人民币5000元。</w:t>
      </w:r>
    </w:p>
    <w:p w14:paraId="08476AA8">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33.2  采购代理服务费金额按下列方法计算：</w:t>
      </w:r>
    </w:p>
    <w:tbl>
      <w:tblPr>
        <w:tblStyle w:val="21"/>
        <w:tblW w:w="0" w:type="auto"/>
        <w:tblInd w:w="64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661"/>
        <w:gridCol w:w="1661"/>
        <w:gridCol w:w="1662"/>
      </w:tblGrid>
      <w:tr w14:paraId="1061AB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trPr>
        <w:tc>
          <w:tcPr>
            <w:tcW w:w="2131" w:type="dxa"/>
          </w:tcPr>
          <w:p w14:paraId="4147D1C2">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mc:AlternateContent>
                <mc:Choice Requires="wps">
                  <w:drawing>
                    <wp:anchor distT="0" distB="0" distL="114300" distR="114300" simplePos="0" relativeHeight="251678720" behindDoc="0" locked="0" layoutInCell="1" allowOverlap="1">
                      <wp:simplePos x="0" y="0"/>
                      <wp:positionH relativeFrom="column">
                        <wp:posOffset>716280</wp:posOffset>
                      </wp:positionH>
                      <wp:positionV relativeFrom="paragraph">
                        <wp:posOffset>552450</wp:posOffset>
                      </wp:positionV>
                      <wp:extent cx="54610" cy="119380"/>
                      <wp:effectExtent l="0" t="0" r="0" b="0"/>
                      <wp:wrapNone/>
                      <wp:docPr id="21" name="__TH_B3733"/>
                      <wp:cNvGraphicFramePr/>
                      <a:graphic xmlns:a="http://schemas.openxmlformats.org/drawingml/2006/main">
                        <a:graphicData uri="http://schemas.microsoft.com/office/word/2010/wordprocessingShape">
                          <wps:wsp>
                            <wps:cNvSpPr txBox="1"/>
                            <wps:spPr>
                              <a:xfrm>
                                <a:off x="0" y="0"/>
                                <a:ext cx="54610" cy="119380"/>
                              </a:xfrm>
                              <a:prstGeom prst="rect">
                                <a:avLst/>
                              </a:prstGeom>
                              <a:noFill/>
                              <a:ln>
                                <a:noFill/>
                              </a:ln>
                              <a:effectLst/>
                            </wps:spPr>
                            <wps:txbx>
                              <w:txbxContent>
                                <w:p w14:paraId="770E83EF">
                                  <w:pPr>
                                    <w:snapToGrid w:val="0"/>
                                    <w:rPr>
                                      <w:sz w:val="15"/>
                                    </w:rPr>
                                  </w:pPr>
                                  <w:r>
                                    <w:rPr>
                                      <w:rFonts w:hint="eastAsia"/>
                                      <w:sz w:val="15"/>
                                    </w:rPr>
                                    <w:t>元</w:t>
                                  </w:r>
                                </w:p>
                              </w:txbxContent>
                            </wps:txbx>
                            <wps:bodyPr lIns="0" tIns="0" rIns="0" bIns="0" upright="1"/>
                          </wps:wsp>
                        </a:graphicData>
                      </a:graphic>
                    </wp:anchor>
                  </w:drawing>
                </mc:Choice>
                <mc:Fallback>
                  <w:pict>
                    <v:shape id="__TH_B3733" o:spid="_x0000_s1026" o:spt="202" type="#_x0000_t202" style="position:absolute;left:0pt;margin-left:56.4pt;margin-top:43.5pt;height:9.4pt;width:4.3pt;z-index:251678720;mso-width-relative:page;mso-height-relative:page;" filled="f" stroked="f" coordsize="21600,21600"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8wITS9gAAAAKAQAADwAAAAAAAAABACAAAAAiAAAAZHJzL2Rvd25yZXYueG1sUEsBAhQAFAAAAAgA&#10;h07iQJm2vgCzAQAAfgMAAA4AAAAAAAAAAQAgAAAAJwEAAGRycy9lMm9Eb2MueG1sUEsFBgAAAAAG&#10;AAYAWQEAAEwFAAAAAA==&#10;">
                      <v:fill on="f" focussize="0,0"/>
                      <v:stroke on="f"/>
                      <v:imagedata o:title=""/>
                      <o:lock v:ext="edit" aspectratio="f"/>
                      <v:textbox inset="0mm,0mm,0mm,0mm">
                        <w:txbxContent>
                          <w:p w14:paraId="770E83EF">
                            <w:pPr>
                              <w:snapToGrid w:val="0"/>
                              <w:rPr>
                                <w:sz w:val="15"/>
                              </w:rPr>
                            </w:pPr>
                            <w:r>
                              <w:rPr>
                                <w:rFonts w:hint="eastAsia"/>
                                <w:sz w:val="15"/>
                              </w:rPr>
                              <w:t>元</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7696" behindDoc="0" locked="0" layoutInCell="1" allowOverlap="1">
                      <wp:simplePos x="0" y="0"/>
                      <wp:positionH relativeFrom="column">
                        <wp:posOffset>565785</wp:posOffset>
                      </wp:positionH>
                      <wp:positionV relativeFrom="paragraph">
                        <wp:posOffset>537845</wp:posOffset>
                      </wp:positionV>
                      <wp:extent cx="125095" cy="119380"/>
                      <wp:effectExtent l="0" t="0" r="0" b="0"/>
                      <wp:wrapNone/>
                      <wp:docPr id="20" name="__TH_B363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77A4AA56">
                                  <w:pPr>
                                    <w:snapToGrid w:val="0"/>
                                    <w:rPr>
                                      <w:sz w:val="15"/>
                                    </w:rPr>
                                  </w:pPr>
                                  <w:r>
                                    <w:rPr>
                                      <w:rFonts w:hint="eastAsia"/>
                                      <w:sz w:val="15"/>
                                    </w:rPr>
                                    <w:t>万</w:t>
                                  </w:r>
                                </w:p>
                              </w:txbxContent>
                            </wps:txbx>
                            <wps:bodyPr lIns="0" tIns="0" rIns="0" bIns="0" upright="1"/>
                          </wps:wsp>
                        </a:graphicData>
                      </a:graphic>
                    </wp:anchor>
                  </w:drawing>
                </mc:Choice>
                <mc:Fallback>
                  <w:pict>
                    <v:shape id="__TH_B3632" o:spid="_x0000_s1026" o:spt="202" type="#_x0000_t202" style="position:absolute;left:0pt;margin-left:44.55pt;margin-top:42.35pt;height:9.4pt;width:9.85pt;z-index:251677696;mso-width-relative:page;mso-height-relative:page;" filled="f" stroked="f" coordsize="21600,21600"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aAzudcAAAAJAQAADwAAAAAAAAABACAAAAAiAAAAZHJzL2Rvd25yZXYueG1sUEsBAhQAFAAAAAgA&#10;h07iQGvaa9i0AQAAfwMAAA4AAAAAAAAAAQAgAAAAJgEAAGRycy9lMm9Eb2MueG1sUEsFBgAAAAAG&#10;AAYAWQEAAEwFAAAAAA==&#10;">
                      <v:fill on="f" focussize="0,0"/>
                      <v:stroke on="f"/>
                      <v:imagedata o:title=""/>
                      <o:lock v:ext="edit" aspectratio="f"/>
                      <v:textbox inset="0mm,0mm,0mm,0mm">
                        <w:txbxContent>
                          <w:p w14:paraId="77A4AA56">
                            <w:pPr>
                              <w:snapToGrid w:val="0"/>
                              <w:rPr>
                                <w:sz w:val="15"/>
                              </w:rPr>
                            </w:pPr>
                            <w:r>
                              <w:rPr>
                                <w:rFonts w:hint="eastAsia"/>
                                <w:sz w:val="15"/>
                              </w:rPr>
                              <w:t>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6672" behindDoc="0" locked="0" layoutInCell="1" allowOverlap="1">
                      <wp:simplePos x="0" y="0"/>
                      <wp:positionH relativeFrom="column">
                        <wp:posOffset>488315</wp:posOffset>
                      </wp:positionH>
                      <wp:positionV relativeFrom="paragraph">
                        <wp:posOffset>523240</wp:posOffset>
                      </wp:positionV>
                      <wp:extent cx="49530" cy="119380"/>
                      <wp:effectExtent l="0" t="0" r="0" b="0"/>
                      <wp:wrapNone/>
                      <wp:docPr id="19" name="__TH_B3531"/>
                      <wp:cNvGraphicFramePr/>
                      <a:graphic xmlns:a="http://schemas.openxmlformats.org/drawingml/2006/main">
                        <a:graphicData uri="http://schemas.microsoft.com/office/word/2010/wordprocessingShape">
                          <wps:wsp>
                            <wps:cNvSpPr txBox="1"/>
                            <wps:spPr>
                              <a:xfrm>
                                <a:off x="0" y="0"/>
                                <a:ext cx="49530" cy="119380"/>
                              </a:xfrm>
                              <a:prstGeom prst="rect">
                                <a:avLst/>
                              </a:prstGeom>
                              <a:noFill/>
                              <a:ln>
                                <a:noFill/>
                              </a:ln>
                              <a:effectLst/>
                            </wps:spPr>
                            <wps:txbx>
                              <w:txbxContent>
                                <w:p w14:paraId="7530B228">
                                  <w:pPr>
                                    <w:snapToGrid w:val="0"/>
                                    <w:rPr>
                                      <w:sz w:val="15"/>
                                    </w:rPr>
                                  </w:pPr>
                                  <w:r>
                                    <w:rPr>
                                      <w:sz w:val="15"/>
                                    </w:rPr>
                                    <w:t>(</w:t>
                                  </w:r>
                                </w:p>
                              </w:txbxContent>
                            </wps:txbx>
                            <wps:bodyPr lIns="0" tIns="0" rIns="0" bIns="0" upright="1"/>
                          </wps:wsp>
                        </a:graphicData>
                      </a:graphic>
                    </wp:anchor>
                  </w:drawing>
                </mc:Choice>
                <mc:Fallback>
                  <w:pict>
                    <v:shape id="__TH_B3531" o:spid="_x0000_s1026" o:spt="202" type="#_x0000_t202" style="position:absolute;left:0pt;margin-left:38.45pt;margin-top:41.2pt;height:9.4pt;width:3.9pt;z-index:251676672;mso-width-relative:page;mso-height-relative:page;" filled="f" stroked="f" coordsize="21600,21600"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5ldetgAAAAIAQAADwAAAAAAAAABACAAAAAiAAAAZHJzL2Rvd25yZXYueG1sUEsBAhQAFAAAAAgA&#10;h07iQMLr2VyzAQAAfgMAAA4AAAAAAAAAAQAgAAAAJwEAAGRycy9lMm9Eb2MueG1sUEsFBgAAAAAG&#10;AAYAWQEAAEwFAAAAAA==&#10;">
                      <v:fill on="f" focussize="0,0"/>
                      <v:stroke on="f"/>
                      <v:imagedata o:title=""/>
                      <o:lock v:ext="edit" aspectratio="f"/>
                      <v:textbox inset="0mm,0mm,0mm,0mm">
                        <w:txbxContent>
                          <w:p w14:paraId="7530B228">
                            <w:pPr>
                              <w:snapToGrid w:val="0"/>
                              <w:rPr>
                                <w:sz w:val="15"/>
                              </w:rPr>
                            </w:pPr>
                            <w:r>
                              <w:rPr>
                                <w:sz w:val="15"/>
                              </w:rPr>
                              <w:t>(</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5648" behindDoc="0" locked="0" layoutInCell="1" allowOverlap="1">
                      <wp:simplePos x="0" y="0"/>
                      <wp:positionH relativeFrom="column">
                        <wp:posOffset>334645</wp:posOffset>
                      </wp:positionH>
                      <wp:positionV relativeFrom="paragraph">
                        <wp:posOffset>508635</wp:posOffset>
                      </wp:positionV>
                      <wp:extent cx="125730" cy="119380"/>
                      <wp:effectExtent l="0" t="0" r="0" b="0"/>
                      <wp:wrapNone/>
                      <wp:docPr id="18" name="__TH_B3430"/>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14:paraId="6F277625">
                                  <w:pPr>
                                    <w:snapToGrid w:val="0"/>
                                    <w:rPr>
                                      <w:sz w:val="15"/>
                                    </w:rPr>
                                  </w:pPr>
                                  <w:r>
                                    <w:rPr>
                                      <w:rFonts w:hint="eastAsia"/>
                                      <w:sz w:val="15"/>
                                    </w:rPr>
                                    <w:t>额</w:t>
                                  </w:r>
                                </w:p>
                              </w:txbxContent>
                            </wps:txbx>
                            <wps:bodyPr lIns="0" tIns="0" rIns="0" bIns="0" upright="1"/>
                          </wps:wsp>
                        </a:graphicData>
                      </a:graphic>
                    </wp:anchor>
                  </w:drawing>
                </mc:Choice>
                <mc:Fallback>
                  <w:pict>
                    <v:shape id="__TH_B3430" o:spid="_x0000_s1026" o:spt="202" type="#_x0000_t202" style="position:absolute;left:0pt;margin-left:26.35pt;margin-top:40.05pt;height:9.4pt;width:9.9pt;z-index:251675648;mso-width-relative:page;mso-height-relative:page;" filled="f" stroked="f" coordsize="21600,21600"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WpI&#10;cdcAAAAHAQAADwAAAAAAAAABACAAAAAiAAAAZHJzL2Rvd25yZXYueG1sUEsBAhQAFAAAAAgAh07i&#10;QG7wi5WxAQAAfwMAAA4AAAAAAAAAAQAgAAAAJgEAAGRycy9lMm9Eb2MueG1sUEsFBgAAAAAGAAYA&#10;WQEAAEkFAAAAAA==&#10;">
                      <v:fill on="f" focussize="0,0"/>
                      <v:stroke on="f"/>
                      <v:imagedata o:title=""/>
                      <o:lock v:ext="edit" aspectratio="f"/>
                      <v:textbox inset="0mm,0mm,0mm,0mm">
                        <w:txbxContent>
                          <w:p w14:paraId="6F277625">
                            <w:pPr>
                              <w:snapToGrid w:val="0"/>
                              <w:rPr>
                                <w:sz w:val="15"/>
                              </w:rPr>
                            </w:pPr>
                            <w:r>
                              <w:rPr>
                                <w:rFonts w:hint="eastAsia"/>
                                <w:sz w:val="15"/>
                              </w:rPr>
                              <w:t>额</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4624" behindDoc="0" locked="0" layoutInCell="1" allowOverlap="1">
                      <wp:simplePos x="0" y="0"/>
                      <wp:positionH relativeFrom="column">
                        <wp:posOffset>219710</wp:posOffset>
                      </wp:positionH>
                      <wp:positionV relativeFrom="paragraph">
                        <wp:posOffset>494030</wp:posOffset>
                      </wp:positionV>
                      <wp:extent cx="125095" cy="119380"/>
                      <wp:effectExtent l="0" t="0" r="0" b="0"/>
                      <wp:wrapNone/>
                      <wp:docPr id="17" name="__TH_B3329"/>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54BA470F">
                                  <w:pPr>
                                    <w:snapToGrid w:val="0"/>
                                    <w:rPr>
                                      <w:sz w:val="15"/>
                                    </w:rPr>
                                  </w:pPr>
                                  <w:r>
                                    <w:rPr>
                                      <w:rFonts w:hint="eastAsia"/>
                                      <w:sz w:val="15"/>
                                    </w:rPr>
                                    <w:t>金</w:t>
                                  </w:r>
                                </w:p>
                              </w:txbxContent>
                            </wps:txbx>
                            <wps:bodyPr lIns="0" tIns="0" rIns="0" bIns="0" upright="1"/>
                          </wps:wsp>
                        </a:graphicData>
                      </a:graphic>
                    </wp:anchor>
                  </w:drawing>
                </mc:Choice>
                <mc:Fallback>
                  <w:pict>
                    <v:shape id="__TH_B3329" o:spid="_x0000_s1026" o:spt="202" type="#_x0000_t202" style="position:absolute;left:0pt;margin-left:17.3pt;margin-top:38.9pt;height:9.4pt;width:9.85pt;z-index:251674624;mso-width-relative:page;mso-height-relative:page;" filled="f" stroked="f" coordsize="21600,21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Z1PIdcAAAAHAQAADwAAAAAAAAABACAAAAAiAAAAZHJzL2Rvd25yZXYueG1sUEsBAhQAFAAAAAgA&#10;h07iQMaPxSy0AQAAfwMAAA4AAAAAAAAAAQAgAAAAJgEAAGRycy9lMm9Eb2MueG1sUEsFBgAAAAAG&#10;AAYAWQEAAEwFAAAAAA==&#10;">
                      <v:fill on="f" focussize="0,0"/>
                      <v:stroke on="f"/>
                      <v:imagedata o:title=""/>
                      <o:lock v:ext="edit" aspectratio="f"/>
                      <v:textbox inset="0mm,0mm,0mm,0mm">
                        <w:txbxContent>
                          <w:p w14:paraId="54BA470F">
                            <w:pPr>
                              <w:snapToGrid w:val="0"/>
                              <w:rPr>
                                <w:sz w:val="15"/>
                              </w:rPr>
                            </w:pPr>
                            <w:r>
                              <w:rPr>
                                <w:rFonts w:hint="eastAsia"/>
                                <w:sz w:val="15"/>
                              </w:rPr>
                              <w:t>金</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3600" behindDoc="0" locked="0" layoutInCell="1" allowOverlap="1">
                      <wp:simplePos x="0" y="0"/>
                      <wp:positionH relativeFrom="column">
                        <wp:posOffset>104140</wp:posOffset>
                      </wp:positionH>
                      <wp:positionV relativeFrom="paragraph">
                        <wp:posOffset>479425</wp:posOffset>
                      </wp:positionV>
                      <wp:extent cx="125730" cy="119380"/>
                      <wp:effectExtent l="0" t="0" r="0" b="0"/>
                      <wp:wrapNone/>
                      <wp:docPr id="16" name="__TH_B3228"/>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14:paraId="6276C604">
                                  <w:pPr>
                                    <w:snapToGrid w:val="0"/>
                                    <w:rPr>
                                      <w:sz w:val="15"/>
                                    </w:rPr>
                                  </w:pPr>
                                  <w:r>
                                    <w:rPr>
                                      <w:rFonts w:hint="eastAsia"/>
                                      <w:sz w:val="15"/>
                                    </w:rPr>
                                    <w:t>标</w:t>
                                  </w:r>
                                </w:p>
                              </w:txbxContent>
                            </wps:txbx>
                            <wps:bodyPr lIns="0" tIns="0" rIns="0" bIns="0" upright="1"/>
                          </wps:wsp>
                        </a:graphicData>
                      </a:graphic>
                    </wp:anchor>
                  </w:drawing>
                </mc:Choice>
                <mc:Fallback>
                  <w:pict>
                    <v:shape id="__TH_B3228" o:spid="_x0000_s1026" o:spt="202" type="#_x0000_t202" style="position:absolute;left:0pt;margin-left:8.2pt;margin-top:37.75pt;height:9.4pt;width:9.9pt;z-index:251673600;mso-width-relative:page;mso-height-relative:page;" filled="f" stroked="f" coordsize="21600,21600"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bW&#10;dhPWAAAABwEAAA8AAAAAAAAAAQAgAAAAIgAAAGRycy9kb3ducmV2LnhtbFBLAQIUABQAAAAIAIdO&#10;4kCDMVvyswEAAH8DAAAOAAAAAAAAAAEAIAAAACUBAABkcnMvZTJvRG9jLnhtbFBLBQYAAAAABgAG&#10;AFkBAABKBQAAAAA=&#10;">
                      <v:fill on="f" focussize="0,0"/>
                      <v:stroke on="f"/>
                      <v:imagedata o:title=""/>
                      <o:lock v:ext="edit" aspectratio="f"/>
                      <v:textbox inset="0mm,0mm,0mm,0mm">
                        <w:txbxContent>
                          <w:p w14:paraId="6276C604">
                            <w:pPr>
                              <w:snapToGrid w:val="0"/>
                              <w:rPr>
                                <w:sz w:val="15"/>
                              </w:rPr>
                            </w:pPr>
                            <w:r>
                              <w:rPr>
                                <w:rFonts w:hint="eastAsia"/>
                                <w:sz w:val="15"/>
                              </w:rPr>
                              <w:t>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2576" behindDoc="0" locked="0" layoutInCell="1" allowOverlap="1">
                      <wp:simplePos x="0" y="0"/>
                      <wp:positionH relativeFrom="column">
                        <wp:posOffset>-10795</wp:posOffset>
                      </wp:positionH>
                      <wp:positionV relativeFrom="paragraph">
                        <wp:posOffset>464820</wp:posOffset>
                      </wp:positionV>
                      <wp:extent cx="125095" cy="119380"/>
                      <wp:effectExtent l="0" t="0" r="0" b="0"/>
                      <wp:wrapNone/>
                      <wp:docPr id="15" name="__TH_B3127"/>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132BAD8F">
                                  <w:pPr>
                                    <w:snapToGrid w:val="0"/>
                                    <w:rPr>
                                      <w:sz w:val="15"/>
                                    </w:rPr>
                                  </w:pPr>
                                  <w:r>
                                    <w:rPr>
                                      <w:rFonts w:hint="eastAsia"/>
                                      <w:sz w:val="15"/>
                                    </w:rPr>
                                    <w:t>中</w:t>
                                  </w:r>
                                </w:p>
                              </w:txbxContent>
                            </wps:txbx>
                            <wps:bodyPr lIns="0" tIns="0" rIns="0" bIns="0" upright="1"/>
                          </wps:wsp>
                        </a:graphicData>
                      </a:graphic>
                    </wp:anchor>
                  </w:drawing>
                </mc:Choice>
                <mc:Fallback>
                  <w:pict>
                    <v:shape id="__TH_B3127" o:spid="_x0000_s1026" o:spt="202" type="#_x0000_t202" style="position:absolute;left:0pt;margin-left:-0.85pt;margin-top:36.6pt;height:9.4pt;width:9.85pt;z-index:251672576;mso-width-relative:page;mso-height-relative:page;" filled="f" stroked="f" coordsize="21600,21600"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4&#10;3oM01gAAAAcBAAAPAAAAAAAAAAEAIAAAACIAAABkcnMvZG93bnJldi54bWxQSwECFAAUAAAACACH&#10;TuJAyIB77rQBAAB/AwAADgAAAAAAAAABACAAAAAlAQAAZHJzL2Uyb0RvYy54bWxQSwUGAAAAAAYA&#10;BgBZAQAASwUAAAAA&#10;">
                      <v:fill on="f" focussize="0,0"/>
                      <v:stroke on="f"/>
                      <v:imagedata o:title=""/>
                      <o:lock v:ext="edit" aspectratio="f"/>
                      <v:textbox inset="0mm,0mm,0mm,0mm">
                        <w:txbxContent>
                          <w:p w14:paraId="132BAD8F">
                            <w:pPr>
                              <w:snapToGrid w:val="0"/>
                              <w:rPr>
                                <w:sz w:val="15"/>
                              </w:rPr>
                            </w:pPr>
                            <w:r>
                              <w:rPr>
                                <w:rFonts w:hint="eastAsia"/>
                                <w:sz w:val="15"/>
                              </w:rPr>
                              <w:t>中</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1552" behindDoc="0" locked="0" layoutInCell="1" allowOverlap="1">
                      <wp:simplePos x="0" y="0"/>
                      <wp:positionH relativeFrom="column">
                        <wp:posOffset>805180</wp:posOffset>
                      </wp:positionH>
                      <wp:positionV relativeFrom="paragraph">
                        <wp:posOffset>407035</wp:posOffset>
                      </wp:positionV>
                      <wp:extent cx="125095" cy="118745"/>
                      <wp:effectExtent l="0" t="0" r="0" b="0"/>
                      <wp:wrapNone/>
                      <wp:docPr id="14" name="__TH_B2226"/>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14:paraId="2E530E2E">
                                  <w:pPr>
                                    <w:snapToGrid w:val="0"/>
                                    <w:rPr>
                                      <w:sz w:val="15"/>
                                    </w:rPr>
                                  </w:pPr>
                                  <w:r>
                                    <w:rPr>
                                      <w:rFonts w:hint="eastAsia"/>
                                      <w:sz w:val="15"/>
                                    </w:rPr>
                                    <w:t>率</w:t>
                                  </w:r>
                                </w:p>
                              </w:txbxContent>
                            </wps:txbx>
                            <wps:bodyPr lIns="0" tIns="0" rIns="0" bIns="0" upright="1"/>
                          </wps:wsp>
                        </a:graphicData>
                      </a:graphic>
                    </wp:anchor>
                  </w:drawing>
                </mc:Choice>
                <mc:Fallback>
                  <w:pict>
                    <v:shape id="__TH_B2226" o:spid="_x0000_s1026" o:spt="202" type="#_x0000_t202" style="position:absolute;left:0pt;margin-left:63.4pt;margin-top:32.05pt;height:9.35pt;width:9.85pt;z-index:251671552;mso-width-relative:page;mso-height-relative:page;" filled="f" stroked="f" coordsize="21600,21600"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rSrU1wAAAAkBAAAPAAAAAAAAAAEAIAAAACIAAABkcnMvZG93bnJldi54bWxQSwECFAAUAAAACACH&#10;TuJA6A0babMBAAB/AwAADgAAAAAAAAABACAAAAAmAQAAZHJzL2Uyb0RvYy54bWxQSwUGAAAAAAYA&#10;BgBZAQAASwUAAAAA&#10;">
                      <v:fill on="f" focussize="0,0"/>
                      <v:stroke on="f"/>
                      <v:imagedata o:title=""/>
                      <o:lock v:ext="edit" aspectratio="f"/>
                      <v:textbox inset="0mm,0mm,0mm,0mm">
                        <w:txbxContent>
                          <w:p w14:paraId="2E530E2E">
                            <w:pPr>
                              <w:snapToGrid w:val="0"/>
                              <w:rPr>
                                <w:sz w:val="15"/>
                              </w:rPr>
                            </w:pPr>
                            <w:r>
                              <w:rPr>
                                <w:rFonts w:hint="eastAsia"/>
                                <w:sz w:val="15"/>
                              </w:rPr>
                              <w:t>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0528" behindDoc="0" locked="0" layoutInCell="1" allowOverlap="1">
                      <wp:simplePos x="0" y="0"/>
                      <wp:positionH relativeFrom="column">
                        <wp:posOffset>253365</wp:posOffset>
                      </wp:positionH>
                      <wp:positionV relativeFrom="paragraph">
                        <wp:posOffset>127635</wp:posOffset>
                      </wp:positionV>
                      <wp:extent cx="125730" cy="119380"/>
                      <wp:effectExtent l="0" t="0" r="0" b="0"/>
                      <wp:wrapNone/>
                      <wp:docPr id="13" name="__TH_B2125"/>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14:paraId="187865E3">
                                  <w:pPr>
                                    <w:snapToGrid w:val="0"/>
                                    <w:rPr>
                                      <w:sz w:val="15"/>
                                    </w:rPr>
                                  </w:pPr>
                                  <w:r>
                                    <w:rPr>
                                      <w:rFonts w:hint="eastAsia"/>
                                      <w:sz w:val="15"/>
                                    </w:rPr>
                                    <w:t>费</w:t>
                                  </w:r>
                                </w:p>
                              </w:txbxContent>
                            </wps:txbx>
                            <wps:bodyPr lIns="0" tIns="0" rIns="0" bIns="0" upright="1"/>
                          </wps:wsp>
                        </a:graphicData>
                      </a:graphic>
                    </wp:anchor>
                  </w:drawing>
                </mc:Choice>
                <mc:Fallback>
                  <w:pict>
                    <v:shape id="__TH_B2125" o:spid="_x0000_s1026" o:spt="202" type="#_x0000_t202" style="position:absolute;left:0pt;margin-left:19.95pt;margin-top:10.05pt;height:9.4pt;width:9.9pt;z-index:251670528;mso-width-relative:page;mso-height-relative:page;" filled="f" stroked="f" coordsize="21600,21600"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3Hk&#10;NdUAAAAHAQAADwAAAAAAAAABACAAAAAiAAAAZHJzL2Rvd25yZXYueG1sUEsBAhQAFAAAAAgAh07i&#10;QOtxLGKzAQAAfwMAAA4AAAAAAAAAAQAgAAAAJAEAAGRycy9lMm9Eb2MueG1sUEsFBgAAAAAGAAYA&#10;WQEAAEkFAAAAAA==&#10;">
                      <v:fill on="f" focussize="0,0"/>
                      <v:stroke on="f"/>
                      <v:imagedata o:title=""/>
                      <o:lock v:ext="edit" aspectratio="f"/>
                      <v:textbox inset="0mm,0mm,0mm,0mm">
                        <w:txbxContent>
                          <w:p w14:paraId="187865E3">
                            <w:pPr>
                              <w:snapToGrid w:val="0"/>
                              <w:rPr>
                                <w:sz w:val="15"/>
                              </w:rPr>
                            </w:pPr>
                            <w:r>
                              <w:rPr>
                                <w:rFonts w:hint="eastAsia"/>
                                <w:sz w:val="15"/>
                              </w:rPr>
                              <w:t>费</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9504" behindDoc="0" locked="0" layoutInCell="1" allowOverlap="1">
                      <wp:simplePos x="0" y="0"/>
                      <wp:positionH relativeFrom="column">
                        <wp:posOffset>1125855</wp:posOffset>
                      </wp:positionH>
                      <wp:positionV relativeFrom="paragraph">
                        <wp:posOffset>410845</wp:posOffset>
                      </wp:positionV>
                      <wp:extent cx="125095" cy="118745"/>
                      <wp:effectExtent l="0" t="0" r="0" b="0"/>
                      <wp:wrapNone/>
                      <wp:docPr id="12" name="__TH_B1424"/>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14:paraId="13979AB5">
                                  <w:pPr>
                                    <w:snapToGrid w:val="0"/>
                                    <w:rPr>
                                      <w:sz w:val="15"/>
                                    </w:rPr>
                                  </w:pPr>
                                  <w:r>
                                    <w:rPr>
                                      <w:rFonts w:hint="eastAsia"/>
                                      <w:sz w:val="15"/>
                                    </w:rPr>
                                    <w:t>型</w:t>
                                  </w:r>
                                </w:p>
                              </w:txbxContent>
                            </wps:txbx>
                            <wps:bodyPr lIns="0" tIns="0" rIns="0" bIns="0" upright="1"/>
                          </wps:wsp>
                        </a:graphicData>
                      </a:graphic>
                    </wp:anchor>
                  </w:drawing>
                </mc:Choice>
                <mc:Fallback>
                  <w:pict>
                    <v:shape id="__TH_B1424" o:spid="_x0000_s1026" o:spt="202" type="#_x0000_t202" style="position:absolute;left:0pt;margin-left:88.65pt;margin-top:32.35pt;height:9.35pt;width:9.85pt;z-index:251669504;mso-width-relative:page;mso-height-relative:page;" filled="f" stroked="f" coordsize="21600,2160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1MkA2AAAAAkBAAAPAAAAAAAAAAEAIAAAACIAAABkcnMvZG93bnJldi54bWxQSwECFAAUAAAACACH&#10;TuJA/cpUVbIBAAB/AwAADgAAAAAAAAABACAAAAAnAQAAZHJzL2Uyb0RvYy54bWxQSwUGAAAAAAYA&#10;BgBZAQAASwUAAAAA&#10;">
                      <v:fill on="f" focussize="0,0"/>
                      <v:stroke on="f"/>
                      <v:imagedata o:title=""/>
                      <o:lock v:ext="edit" aspectratio="f"/>
                      <v:textbox inset="0mm,0mm,0mm,0mm">
                        <w:txbxContent>
                          <w:p w14:paraId="13979AB5">
                            <w:pPr>
                              <w:snapToGrid w:val="0"/>
                              <w:rPr>
                                <w:sz w:val="15"/>
                              </w:rPr>
                            </w:pPr>
                            <w:r>
                              <w:rPr>
                                <w:rFonts w:hint="eastAsia"/>
                                <w:sz w:val="15"/>
                              </w:rPr>
                              <w:t>型</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8480" behindDoc="0" locked="0" layoutInCell="1" allowOverlap="1">
                      <wp:simplePos x="0" y="0"/>
                      <wp:positionH relativeFrom="column">
                        <wp:posOffset>1066165</wp:posOffset>
                      </wp:positionH>
                      <wp:positionV relativeFrom="paragraph">
                        <wp:posOffset>289560</wp:posOffset>
                      </wp:positionV>
                      <wp:extent cx="125095" cy="119380"/>
                      <wp:effectExtent l="0" t="0" r="0" b="0"/>
                      <wp:wrapNone/>
                      <wp:docPr id="11" name="__TH_B1323"/>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7BC512C0">
                                  <w:pPr>
                                    <w:snapToGrid w:val="0"/>
                                    <w:rPr>
                                      <w:sz w:val="15"/>
                                    </w:rPr>
                                  </w:pPr>
                                  <w:r>
                                    <w:rPr>
                                      <w:rFonts w:hint="eastAsia"/>
                                      <w:sz w:val="15"/>
                                    </w:rPr>
                                    <w:t>类</w:t>
                                  </w:r>
                                </w:p>
                              </w:txbxContent>
                            </wps:txbx>
                            <wps:bodyPr lIns="0" tIns="0" rIns="0" bIns="0" upright="1"/>
                          </wps:wsp>
                        </a:graphicData>
                      </a:graphic>
                    </wp:anchor>
                  </w:drawing>
                </mc:Choice>
                <mc:Fallback>
                  <w:pict>
                    <v:shape id="__TH_B1323" o:spid="_x0000_s1026" o:spt="202" type="#_x0000_t202" style="position:absolute;left:0pt;margin-left:83.95pt;margin-top:22.8pt;height:9.4pt;width:9.85pt;z-index:251668480;mso-width-relative:page;mso-height-relative:page;" filled="f" stroked="f" coordsize="21600,21600"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upVmdgAAAAJAQAADwAAAAAAAAABACAAAAAiAAAAZHJzL2Rvd25yZXYueG1sUEsBAhQAFAAAAAgA&#10;h07iQMu1DXqzAQAAfwMAAA4AAAAAAAAAAQAgAAAAJwEAAGRycy9lMm9Eb2MueG1sUEsFBgAAAAAG&#10;AAYAWQEAAEwFAAAAAA==&#10;">
                      <v:fill on="f" focussize="0,0"/>
                      <v:stroke on="f"/>
                      <v:imagedata o:title=""/>
                      <o:lock v:ext="edit" aspectratio="f"/>
                      <v:textbox inset="0mm,0mm,0mm,0mm">
                        <w:txbxContent>
                          <w:p w14:paraId="7BC512C0">
                            <w:pPr>
                              <w:snapToGrid w:val="0"/>
                              <w:rPr>
                                <w:sz w:val="15"/>
                              </w:rPr>
                            </w:pPr>
                            <w:r>
                              <w:rPr>
                                <w:rFonts w:hint="eastAsia"/>
                                <w:sz w:val="15"/>
                              </w:rPr>
                              <w:t>类</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7456" behindDoc="0" locked="0" layoutInCell="1" allowOverlap="1">
                      <wp:simplePos x="0" y="0"/>
                      <wp:positionH relativeFrom="column">
                        <wp:posOffset>1006475</wp:posOffset>
                      </wp:positionH>
                      <wp:positionV relativeFrom="paragraph">
                        <wp:posOffset>168910</wp:posOffset>
                      </wp:positionV>
                      <wp:extent cx="125095" cy="119380"/>
                      <wp:effectExtent l="0" t="0" r="0" b="0"/>
                      <wp:wrapNone/>
                      <wp:docPr id="10" name="__TH_B122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7AC1170D">
                                  <w:pPr>
                                    <w:snapToGrid w:val="0"/>
                                    <w:rPr>
                                      <w:sz w:val="15"/>
                                    </w:rPr>
                                  </w:pPr>
                                  <w:r>
                                    <w:rPr>
                                      <w:rFonts w:hint="eastAsia"/>
                                      <w:sz w:val="15"/>
                                    </w:rPr>
                                    <w:t>务</w:t>
                                  </w:r>
                                </w:p>
                              </w:txbxContent>
                            </wps:txbx>
                            <wps:bodyPr lIns="0" tIns="0" rIns="0" bIns="0" upright="1"/>
                          </wps:wsp>
                        </a:graphicData>
                      </a:graphic>
                    </wp:anchor>
                  </w:drawing>
                </mc:Choice>
                <mc:Fallback>
                  <w:pict>
                    <v:shape id="__TH_B1222" o:spid="_x0000_s1026" o:spt="202" type="#_x0000_t202" style="position:absolute;left:0pt;margin-left:79.25pt;margin-top:13.3pt;height:9.4pt;width:9.85pt;z-index:251667456;mso-width-relative:page;mso-height-relative:page;" filled="f" stroked="f" coordsize="21600,21600"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j&#10;XzaP2AAAAAkBAAAPAAAAAAAAAAEAIAAAACIAAABkcnMvZG93bnJldi54bWxQSwECFAAUAAAACACH&#10;TuJAUTpdk7IBAAB/AwAADgAAAAAAAAABACAAAAAnAQAAZHJzL2Uyb0RvYy54bWxQSwUGAAAAAAYA&#10;BgBZAQAASwUAAAAA&#10;">
                      <v:fill on="f" focussize="0,0"/>
                      <v:stroke on="f"/>
                      <v:imagedata o:title=""/>
                      <o:lock v:ext="edit" aspectratio="f"/>
                      <v:textbox inset="0mm,0mm,0mm,0mm">
                        <w:txbxContent>
                          <w:p w14:paraId="7AC1170D">
                            <w:pPr>
                              <w:snapToGrid w:val="0"/>
                              <w:rPr>
                                <w:sz w:val="15"/>
                              </w:rPr>
                            </w:pPr>
                            <w:r>
                              <w:rPr>
                                <w:rFonts w:hint="eastAsia"/>
                                <w:sz w:val="15"/>
                              </w:rPr>
                              <w:t>务</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6432" behindDoc="0" locked="0" layoutInCell="1" allowOverlap="1">
                      <wp:simplePos x="0" y="0"/>
                      <wp:positionH relativeFrom="column">
                        <wp:posOffset>946785</wp:posOffset>
                      </wp:positionH>
                      <wp:positionV relativeFrom="paragraph">
                        <wp:posOffset>48260</wp:posOffset>
                      </wp:positionV>
                      <wp:extent cx="125095" cy="119380"/>
                      <wp:effectExtent l="0" t="0" r="0" b="0"/>
                      <wp:wrapNone/>
                      <wp:docPr id="9" name="__TH_B1121"/>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3F844437">
                                  <w:pPr>
                                    <w:snapToGrid w:val="0"/>
                                    <w:rPr>
                                      <w:sz w:val="15"/>
                                    </w:rPr>
                                  </w:pPr>
                                  <w:r>
                                    <w:rPr>
                                      <w:rFonts w:hint="eastAsia"/>
                                      <w:sz w:val="15"/>
                                    </w:rPr>
                                    <w:t>服</w:t>
                                  </w:r>
                                </w:p>
                              </w:txbxContent>
                            </wps:txbx>
                            <wps:bodyPr lIns="0" tIns="0" rIns="0" bIns="0" upright="1"/>
                          </wps:wsp>
                        </a:graphicData>
                      </a:graphic>
                    </wp:anchor>
                  </w:drawing>
                </mc:Choice>
                <mc:Fallback>
                  <w:pict>
                    <v:shape id="__TH_B1121" o:spid="_x0000_s1026" o:spt="202" type="#_x0000_t202" style="position:absolute;left:0pt;margin-left:74.55pt;margin-top:3.8pt;height:9.4pt;width:9.85pt;z-index:251666432;mso-width-relative:page;mso-height-relative:page;" filled="f" stroked="f" coordsize="21600,21600"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x&#10;2So/1wAAAAgBAAAPAAAAAAAAAAEAIAAAACIAAABkcnMvZG93bnJldi54bWxQSwECFAAUAAAACACH&#10;TuJAk/EplLMBAAB+AwAADgAAAAAAAAABACAAAAAmAQAAZHJzL2Uyb0RvYy54bWxQSwUGAAAAAAYA&#10;BgBZAQAASwUAAAAA&#10;">
                      <v:fill on="f" focussize="0,0"/>
                      <v:stroke on="f"/>
                      <v:imagedata o:title=""/>
                      <o:lock v:ext="edit" aspectratio="f"/>
                      <v:textbox inset="0mm,0mm,0mm,0mm">
                        <w:txbxContent>
                          <w:p w14:paraId="3F844437">
                            <w:pPr>
                              <w:snapToGrid w:val="0"/>
                              <w:rPr>
                                <w:sz w:val="15"/>
                              </w:rPr>
                            </w:pPr>
                            <w:r>
                              <w:rPr>
                                <w:rFonts w:hint="eastAsia"/>
                                <w:sz w:val="15"/>
                              </w:rPr>
                              <w:t>服</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5408" behindDoc="0" locked="0" layoutInCell="1" allowOverlap="1">
                      <wp:simplePos x="0" y="0"/>
                      <wp:positionH relativeFrom="column">
                        <wp:posOffset>-65405</wp:posOffset>
                      </wp:positionH>
                      <wp:positionV relativeFrom="paragraph">
                        <wp:posOffset>340995</wp:posOffset>
                      </wp:positionV>
                      <wp:extent cx="1346200" cy="340360"/>
                      <wp:effectExtent l="1270" t="4445" r="5080" b="17145"/>
                      <wp:wrapNone/>
                      <wp:docPr id="8" name="__TH_L20"/>
                      <wp:cNvGraphicFramePr/>
                      <a:graphic xmlns:a="http://schemas.openxmlformats.org/drawingml/2006/main">
                        <a:graphicData uri="http://schemas.microsoft.com/office/word/2010/wordprocessingShape">
                          <wps:wsp>
                            <wps:cNvCnPr/>
                            <wps:spPr>
                              <a:xfrm>
                                <a:off x="0" y="0"/>
                                <a:ext cx="1346200" cy="34036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_TH_L20" o:spid="_x0000_s1026" o:spt="20" style="position:absolute;left:0pt;margin-left:-5.15pt;margin-top:26.85pt;height:26.8pt;width:106pt;z-index:251665408;mso-width-relative:page;mso-height-relative:page;" filled="f" stroked="t" coordsize="21600,21600"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uoAAtYAAAAKAQAADwAA&#10;AAAAAAABACAAAAAiAAAAZHJzL2Rvd25yZXYueG1sUEsBAhQAFAAAAAgAh07iQIYtgRffAQAA4gMA&#10;AA4AAAAAAAAAAQAgAAAAJQEAAGRycy9lMm9Eb2MueG1sUEsFBgAAAAAGAAYAWQEAAHYFAAAAAA==&#10;">
                      <v:fill on="f" focussize="0,0"/>
                      <v:stroke weight="0.5pt" color="#000000" joinstyle="round"/>
                      <v:imagedata o:title=""/>
                      <o:lock v:ext="edit" aspectratio="f"/>
                    </v:lin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4384" behindDoc="0" locked="0" layoutInCell="1" allowOverlap="1">
                      <wp:simplePos x="0" y="0"/>
                      <wp:positionH relativeFrom="column">
                        <wp:posOffset>607695</wp:posOffset>
                      </wp:positionH>
                      <wp:positionV relativeFrom="paragraph">
                        <wp:posOffset>0</wp:posOffset>
                      </wp:positionV>
                      <wp:extent cx="673100" cy="681355"/>
                      <wp:effectExtent l="3175" t="3175" r="9525" b="20320"/>
                      <wp:wrapNone/>
                      <wp:docPr id="7" name="__TH_L19"/>
                      <wp:cNvGraphicFramePr/>
                      <a:graphic xmlns:a="http://schemas.openxmlformats.org/drawingml/2006/main">
                        <a:graphicData uri="http://schemas.microsoft.com/office/word/2010/wordprocessingShape">
                          <wps:wsp>
                            <wps:cNvCnPr/>
                            <wps:spPr>
                              <a:xfrm>
                                <a:off x="0" y="0"/>
                                <a:ext cx="673100" cy="68135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_TH_L19" o:spid="_x0000_s1026" o:spt="20" style="position:absolute;left:0pt;margin-left:47.85pt;margin-top:0pt;height:53.65pt;width:53pt;z-index:251664384;mso-width-relative:page;mso-height-relative:page;" filled="f" stroked="t" coordsize="21600,21600"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3G1tN0wAAAAcBAAAPAAAAAAAA&#10;AAEAIAAAACIAAABkcnMvZG93bnJldi54bWxQSwECFAAUAAAACACHTuJALzrNBt4BAADhAwAADgAA&#10;AAAAAAABACAAAAAiAQAAZHJzL2Uyb0RvYy54bWxQSwUGAAAAAAYABgBZAQAAcgUAAAAA&#10;">
                      <v:fill on="f" focussize="0,0"/>
                      <v:stroke weight="0.5pt" color="#000000" joinstyle="round"/>
                      <v:imagedata o:title=""/>
                      <o:lock v:ext="edit" aspectratio="f"/>
                    </v:line>
                  </w:pict>
                </mc:Fallback>
              </mc:AlternateContent>
            </w:r>
          </w:p>
        </w:tc>
        <w:tc>
          <w:tcPr>
            <w:tcW w:w="1661" w:type="dxa"/>
            <w:tcBorders>
              <w:right w:val="single" w:color="auto" w:sz="4" w:space="0"/>
            </w:tcBorders>
            <w:vAlign w:val="center"/>
          </w:tcPr>
          <w:p w14:paraId="7AD9B59E">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服务采购</w:t>
            </w:r>
          </w:p>
        </w:tc>
        <w:tc>
          <w:tcPr>
            <w:tcW w:w="1661" w:type="dxa"/>
            <w:tcBorders>
              <w:left w:val="single" w:color="auto" w:sz="4" w:space="0"/>
              <w:right w:val="single" w:color="auto" w:sz="4" w:space="0"/>
            </w:tcBorders>
            <w:vAlign w:val="center"/>
          </w:tcPr>
          <w:p w14:paraId="73424F64">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货物采购</w:t>
            </w:r>
          </w:p>
        </w:tc>
        <w:tc>
          <w:tcPr>
            <w:tcW w:w="1662" w:type="dxa"/>
            <w:tcBorders>
              <w:left w:val="single" w:color="auto" w:sz="4" w:space="0"/>
            </w:tcBorders>
            <w:vAlign w:val="center"/>
          </w:tcPr>
          <w:p w14:paraId="1B81F9F6">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工程采购</w:t>
            </w:r>
          </w:p>
        </w:tc>
      </w:tr>
      <w:tr w14:paraId="031CDA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14:paraId="550E82E2">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661" w:type="dxa"/>
            <w:tcBorders>
              <w:right w:val="single" w:color="auto" w:sz="4" w:space="0"/>
            </w:tcBorders>
            <w:vAlign w:val="center"/>
          </w:tcPr>
          <w:p w14:paraId="3A0D0C20">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661" w:type="dxa"/>
            <w:tcBorders>
              <w:left w:val="single" w:color="auto" w:sz="4" w:space="0"/>
              <w:right w:val="single" w:color="auto" w:sz="4" w:space="0"/>
            </w:tcBorders>
            <w:vAlign w:val="center"/>
          </w:tcPr>
          <w:p w14:paraId="3EF24713">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662" w:type="dxa"/>
            <w:tcBorders>
              <w:left w:val="single" w:color="auto" w:sz="4" w:space="0"/>
            </w:tcBorders>
            <w:vAlign w:val="center"/>
          </w:tcPr>
          <w:p w14:paraId="379D4AF1">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r>
      <w:tr w14:paraId="469E3C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14:paraId="68C3160E">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100-500</w:t>
            </w:r>
          </w:p>
        </w:tc>
        <w:tc>
          <w:tcPr>
            <w:tcW w:w="1661" w:type="dxa"/>
            <w:tcBorders>
              <w:right w:val="single" w:color="auto" w:sz="4" w:space="0"/>
            </w:tcBorders>
            <w:vAlign w:val="center"/>
          </w:tcPr>
          <w:p w14:paraId="04925AC4">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0.80%</w:t>
            </w:r>
          </w:p>
        </w:tc>
        <w:tc>
          <w:tcPr>
            <w:tcW w:w="1661" w:type="dxa"/>
            <w:tcBorders>
              <w:left w:val="single" w:color="auto" w:sz="4" w:space="0"/>
              <w:right w:val="single" w:color="auto" w:sz="4" w:space="0"/>
            </w:tcBorders>
            <w:vAlign w:val="center"/>
          </w:tcPr>
          <w:p w14:paraId="43AA2DE5">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1.10%</w:t>
            </w:r>
          </w:p>
        </w:tc>
        <w:tc>
          <w:tcPr>
            <w:tcW w:w="1662" w:type="dxa"/>
            <w:tcBorders>
              <w:left w:val="single" w:color="auto" w:sz="4" w:space="0"/>
            </w:tcBorders>
            <w:vAlign w:val="center"/>
          </w:tcPr>
          <w:p w14:paraId="4012E1D8">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0.70%</w:t>
            </w:r>
          </w:p>
        </w:tc>
      </w:tr>
    </w:tbl>
    <w:p w14:paraId="5353347D">
      <w:pPr>
        <w:spacing w:line="360" w:lineRule="auto"/>
        <w:ind w:firstLine="420" w:firstLineChars="200"/>
        <w:rPr>
          <w:rFonts w:ascii="宋体" w:hAnsi="宋体" w:cs="仿宋"/>
          <w:szCs w:val="21"/>
        </w:rPr>
      </w:pPr>
      <w:r>
        <w:rPr>
          <w:rFonts w:hint="eastAsia" w:ascii="宋体" w:hAnsi="宋体" w:cs="仿宋"/>
          <w:szCs w:val="21"/>
        </w:rPr>
        <w:t>注：1、采购代理服务费按差额定率累进法计算。例如：某服务类项目中标金额为200万元，计算采购代理服务费额如下：</w:t>
      </w:r>
    </w:p>
    <w:p w14:paraId="2947D93F">
      <w:pPr>
        <w:spacing w:line="360" w:lineRule="auto"/>
        <w:ind w:firstLine="420" w:firstLineChars="200"/>
        <w:rPr>
          <w:rFonts w:ascii="宋体" w:hAnsi="宋体" w:cs="仿宋"/>
          <w:szCs w:val="21"/>
        </w:rPr>
      </w:pPr>
      <w:r>
        <w:rPr>
          <w:rFonts w:hint="eastAsia" w:ascii="宋体" w:hAnsi="宋体" w:cs="仿宋"/>
          <w:szCs w:val="21"/>
        </w:rPr>
        <w:t>100万元×1.5%=1.5万元</w:t>
      </w:r>
    </w:p>
    <w:p w14:paraId="1170AD43">
      <w:pPr>
        <w:spacing w:line="360" w:lineRule="auto"/>
        <w:ind w:firstLine="420" w:firstLineChars="200"/>
        <w:rPr>
          <w:rFonts w:ascii="宋体" w:hAnsi="宋体" w:cs="仿宋"/>
          <w:szCs w:val="21"/>
        </w:rPr>
      </w:pPr>
      <w:r>
        <w:rPr>
          <w:rFonts w:hint="eastAsia" w:ascii="宋体" w:hAnsi="宋体" w:cs="仿宋"/>
          <w:szCs w:val="21"/>
        </w:rPr>
        <w:t>（200-100）万元×0.8%=0.8万元</w:t>
      </w:r>
    </w:p>
    <w:p w14:paraId="0BD7F93E">
      <w:pPr>
        <w:ind w:firstLine="420" w:firstLineChars="200"/>
        <w:rPr>
          <w:rFonts w:cs="仿宋" w:asciiTheme="minorEastAsia" w:hAnsiTheme="minorEastAsia" w:eastAsiaTheme="minorEastAsia"/>
          <w:szCs w:val="21"/>
        </w:rPr>
      </w:pPr>
      <w:r>
        <w:rPr>
          <w:rFonts w:hint="eastAsia" w:ascii="宋体" w:hAnsi="宋体" w:cs="仿宋"/>
          <w:szCs w:val="21"/>
        </w:rPr>
        <w:t>合计收费=1.5+0.88＝2.38（万元）</w:t>
      </w:r>
    </w:p>
    <w:p w14:paraId="3D0D4159">
      <w:pPr>
        <w:rPr>
          <w:rFonts w:cs="仿宋" w:asciiTheme="minorEastAsia" w:hAnsiTheme="minorEastAsia" w:eastAsiaTheme="minorEastAsia"/>
        </w:rPr>
      </w:pPr>
    </w:p>
    <w:p w14:paraId="5B86F2C4">
      <w:pPr>
        <w:jc w:val="center"/>
        <w:rPr>
          <w:rFonts w:cs="仿宋" w:asciiTheme="minorEastAsia" w:hAnsiTheme="minorEastAsia" w:eastAsiaTheme="minorEastAsia"/>
          <w:szCs w:val="21"/>
        </w:rPr>
      </w:pPr>
      <w:r>
        <w:rPr>
          <w:rFonts w:hint="eastAsia" w:cs="仿宋" w:asciiTheme="minorEastAsia" w:hAnsiTheme="minorEastAsia" w:eastAsiaTheme="minorEastAsia"/>
          <w:b/>
          <w:snapToGrid w:val="0"/>
          <w:kern w:val="0"/>
          <w:sz w:val="32"/>
          <w:szCs w:val="32"/>
        </w:rPr>
        <w:t>G　　公开征集失败的后续处理</w:t>
      </w:r>
    </w:p>
    <w:p w14:paraId="397F7FBF">
      <w:pPr>
        <w:spacing w:line="360" w:lineRule="auto"/>
        <w:rPr>
          <w:rFonts w:ascii="宋体" w:hAnsi="宋体" w:cs="宋体"/>
          <w:szCs w:val="21"/>
        </w:rPr>
      </w:pPr>
      <w:r>
        <w:rPr>
          <w:rFonts w:hint="eastAsia" w:ascii="宋体" w:hAnsi="宋体" w:cs="宋体"/>
          <w:b/>
          <w:bCs/>
          <w:szCs w:val="21"/>
        </w:rPr>
        <w:t>34．公开征集失败的处理</w:t>
      </w:r>
    </w:p>
    <w:p w14:paraId="39CDB5D5">
      <w:pPr>
        <w:spacing w:line="360" w:lineRule="auto"/>
        <w:rPr>
          <w:rFonts w:ascii="宋体" w:hAnsi="宋体" w:cs="宋体"/>
          <w:szCs w:val="21"/>
        </w:rPr>
      </w:pPr>
      <w:r>
        <w:rPr>
          <w:rFonts w:hint="eastAsia" w:ascii="宋体" w:hAnsi="宋体" w:cs="宋体"/>
          <w:szCs w:val="21"/>
        </w:rPr>
        <w:t>34.1本项目公开征集过程中若出现投标截止后实际递交投标文件的供应商数量不足、经评审委员会评审对征集文件作实质响应的供应商不足等情况，公开征集有效供应商不足三家的，项目根据以下情况开展：</w:t>
      </w:r>
    </w:p>
    <w:p w14:paraId="3F240941">
      <w:pPr>
        <w:spacing w:line="360" w:lineRule="auto"/>
        <w:rPr>
          <w:rFonts w:ascii="宋体" w:hAnsi="宋体" w:cs="宋体"/>
          <w:szCs w:val="21"/>
        </w:rPr>
      </w:pPr>
      <w:r>
        <w:rPr>
          <w:rFonts w:hint="eastAsia" w:ascii="宋体" w:hAnsi="宋体" w:cs="宋体"/>
          <w:szCs w:val="21"/>
        </w:rPr>
        <w:t>34.1.1有效供应商为两家的，项目现场转为邀请竞标，评审委员会根据本项目征集文件规定的评审方法确定中标供应商；</w:t>
      </w:r>
    </w:p>
    <w:p w14:paraId="4DF21F31">
      <w:pPr>
        <w:spacing w:line="360" w:lineRule="auto"/>
        <w:rPr>
          <w:rFonts w:ascii="宋体" w:hAnsi="宋体" w:cs="宋体"/>
          <w:szCs w:val="21"/>
        </w:rPr>
      </w:pPr>
      <w:r>
        <w:rPr>
          <w:rFonts w:hint="eastAsia" w:ascii="宋体" w:hAnsi="宋体" w:cs="宋体"/>
          <w:szCs w:val="21"/>
        </w:rPr>
        <w:t>34.1.2有效供应商为一家的，项目现场转为直接采购，评审委员会与唯一供应商进行总计不少于三轮谈判、报价（含首轮报价）；</w:t>
      </w:r>
    </w:p>
    <w:p w14:paraId="32959474">
      <w:pPr>
        <w:spacing w:line="360" w:lineRule="auto"/>
        <w:rPr>
          <w:rFonts w:ascii="宋体" w:hAnsi="宋体" w:cs="宋体"/>
          <w:szCs w:val="21"/>
        </w:rPr>
      </w:pPr>
      <w:r>
        <w:rPr>
          <w:rFonts w:hint="eastAsia" w:ascii="宋体" w:hAnsi="宋体" w:cs="宋体"/>
          <w:szCs w:val="21"/>
        </w:rPr>
        <w:t>34.1.3无有效供应商的，项目公开征集失败，重新组织公开征集。</w:t>
      </w:r>
    </w:p>
    <w:p w14:paraId="2CDB65DA">
      <w:pPr>
        <w:spacing w:line="360" w:lineRule="auto"/>
        <w:rPr>
          <w:rFonts w:ascii="宋体" w:hAnsi="宋体" w:cs="宋体"/>
          <w:szCs w:val="21"/>
        </w:rPr>
      </w:pPr>
      <w:r>
        <w:rPr>
          <w:rFonts w:hint="eastAsia" w:ascii="宋体" w:hAnsi="宋体" w:cs="宋体"/>
          <w:szCs w:val="21"/>
        </w:rPr>
        <w:t>34.2对公开征集失败的项目，评审委员会在出具该项目征集失败结论的同时，可以提出重新采购组织形式的建议，以及进一步完善征集文件的资格、技术、商务要求的修改建议。</w:t>
      </w:r>
    </w:p>
    <w:p w14:paraId="23C94A15">
      <w:pPr>
        <w:spacing w:line="360" w:lineRule="auto"/>
        <w:rPr>
          <w:rFonts w:ascii="宋体" w:hAnsi="宋体" w:cs="宋体"/>
          <w:szCs w:val="21"/>
        </w:rPr>
      </w:pPr>
      <w:r>
        <w:rPr>
          <w:rFonts w:hint="eastAsia" w:ascii="宋体" w:hAnsi="宋体" w:cs="宋体"/>
          <w:szCs w:val="21"/>
        </w:rPr>
        <w:t>34.3公开征集失败的采购项目重新组织公开征集，由采购代理机构重新按公开征集流程组织采购活动。</w:t>
      </w:r>
    </w:p>
    <w:p w14:paraId="17B40247">
      <w:pPr>
        <w:spacing w:line="360" w:lineRule="auto"/>
        <w:rPr>
          <w:rFonts w:ascii="宋体" w:hAnsi="宋体" w:cs="宋体"/>
          <w:szCs w:val="21"/>
        </w:rPr>
      </w:pPr>
      <w:r>
        <w:rPr>
          <w:rFonts w:hint="eastAsia" w:ascii="宋体" w:hAnsi="宋体" w:cs="宋体"/>
          <w:szCs w:val="21"/>
        </w:rPr>
        <w:t>34.4公开征集失败的采购项目转为邀请竞标或直接采购方式采购的，不另行制作谈判文件，采购代理机构可就原征集文件中资质、技术及评标方法等变动情况向拟谈判对象作出补充说明，与原征集文件具同等效力，变动部分以补充说明文件为准。转为邀请竞标或直接采购方式采购的，供应商的原投标文件转为谈判应答文件。</w:t>
      </w:r>
    </w:p>
    <w:p w14:paraId="75CC7C75">
      <w:pPr>
        <w:spacing w:line="360" w:lineRule="auto"/>
        <w:rPr>
          <w:rFonts w:ascii="宋体" w:hAnsi="宋体" w:cs="宋体"/>
          <w:szCs w:val="21"/>
        </w:rPr>
      </w:pPr>
      <w:r>
        <w:rPr>
          <w:rFonts w:hint="eastAsia" w:ascii="宋体" w:hAnsi="宋体" w:cs="宋体"/>
          <w:b/>
          <w:bCs/>
          <w:szCs w:val="21"/>
        </w:rPr>
        <w:t>35．公开征集失败项目转为直接采购方式</w:t>
      </w:r>
    </w:p>
    <w:p w14:paraId="02538553">
      <w:pPr>
        <w:spacing w:line="360" w:lineRule="auto"/>
        <w:rPr>
          <w:rFonts w:ascii="宋体" w:hAnsi="宋体" w:cs="宋体"/>
          <w:szCs w:val="21"/>
        </w:rPr>
      </w:pPr>
      <w:r>
        <w:rPr>
          <w:rFonts w:hint="eastAsia" w:ascii="宋体" w:hAnsi="宋体" w:cs="宋体"/>
          <w:szCs w:val="21"/>
        </w:rPr>
        <w:t>35.1公开征集失败项目转为直接采购方式采购后，评审委员会转为谈判小组，谈判小组成员由采购单位代表和有关专家共3人以上（含3人）的单数组成；专家可重新抽取也可继续采用原评审委员会内专家。</w:t>
      </w:r>
    </w:p>
    <w:p w14:paraId="1123DE9F">
      <w:pPr>
        <w:spacing w:line="360" w:lineRule="auto"/>
        <w:rPr>
          <w:rFonts w:ascii="宋体" w:hAnsi="宋体" w:cs="宋体"/>
          <w:szCs w:val="21"/>
        </w:rPr>
      </w:pPr>
      <w:r>
        <w:rPr>
          <w:rFonts w:hint="eastAsia" w:ascii="宋体" w:hAnsi="宋体" w:cs="宋体"/>
          <w:szCs w:val="21"/>
        </w:rPr>
        <w:t>35.2谈判程序</w:t>
      </w:r>
    </w:p>
    <w:p w14:paraId="15B02F44">
      <w:pPr>
        <w:spacing w:line="360" w:lineRule="auto"/>
        <w:rPr>
          <w:rFonts w:ascii="宋体" w:hAnsi="宋体" w:cs="宋体"/>
          <w:szCs w:val="21"/>
        </w:rPr>
      </w:pPr>
      <w:r>
        <w:rPr>
          <w:rFonts w:hint="eastAsia" w:ascii="宋体" w:hAnsi="宋体" w:cs="宋体"/>
          <w:szCs w:val="21"/>
        </w:rPr>
        <w:t>35.2.1参加谈判的供应商和谈判小组成员填写谈判登记表，供应商应交验证明文件（法定代表人证明书、法人授权委托书、被授权的谈判代表身份证原件）核实身份。</w:t>
      </w:r>
    </w:p>
    <w:p w14:paraId="4635FF8D">
      <w:pPr>
        <w:spacing w:line="360" w:lineRule="auto"/>
        <w:rPr>
          <w:rFonts w:ascii="宋体" w:hAnsi="宋体" w:cs="宋体"/>
          <w:szCs w:val="21"/>
        </w:rPr>
      </w:pPr>
      <w:r>
        <w:rPr>
          <w:rFonts w:hint="eastAsia" w:ascii="宋体" w:hAnsi="宋体" w:cs="宋体"/>
          <w:szCs w:val="21"/>
        </w:rPr>
        <w:t>35.2.2谈判小组主持人宣布谈判规则和谈判纪律。</w:t>
      </w:r>
    </w:p>
    <w:p w14:paraId="6853D884">
      <w:pPr>
        <w:spacing w:line="360" w:lineRule="auto"/>
        <w:rPr>
          <w:rFonts w:ascii="宋体" w:hAnsi="宋体" w:cs="宋体"/>
          <w:szCs w:val="21"/>
        </w:rPr>
      </w:pPr>
      <w:r>
        <w:rPr>
          <w:rFonts w:hint="eastAsia" w:ascii="宋体" w:hAnsi="宋体" w:cs="宋体"/>
          <w:szCs w:val="21"/>
        </w:rPr>
        <w:t>35.2.3在谈判中，谈判小组将就以下谈判内容跟供应商进行谈判：</w:t>
      </w:r>
    </w:p>
    <w:p w14:paraId="6DF47201">
      <w:pPr>
        <w:spacing w:line="360" w:lineRule="auto"/>
        <w:rPr>
          <w:rFonts w:ascii="宋体" w:hAnsi="宋体" w:cs="宋体"/>
          <w:szCs w:val="21"/>
        </w:rPr>
      </w:pPr>
      <w:r>
        <w:rPr>
          <w:rFonts w:hint="eastAsia" w:ascii="宋体" w:hAnsi="宋体" w:cs="宋体"/>
          <w:szCs w:val="21"/>
        </w:rPr>
        <w:t>（1）项目方案；</w:t>
      </w:r>
    </w:p>
    <w:p w14:paraId="780AC840">
      <w:pPr>
        <w:spacing w:line="360" w:lineRule="auto"/>
        <w:rPr>
          <w:rFonts w:ascii="宋体" w:hAnsi="宋体" w:cs="宋体"/>
          <w:szCs w:val="21"/>
        </w:rPr>
      </w:pPr>
      <w:r>
        <w:rPr>
          <w:rFonts w:hint="eastAsia" w:ascii="宋体" w:hAnsi="宋体" w:cs="宋体"/>
          <w:szCs w:val="21"/>
        </w:rPr>
        <w:t>（2）报价；</w:t>
      </w:r>
    </w:p>
    <w:p w14:paraId="3209C201">
      <w:pPr>
        <w:spacing w:line="360" w:lineRule="auto"/>
        <w:rPr>
          <w:rFonts w:ascii="宋体" w:hAnsi="宋体" w:cs="宋体"/>
          <w:szCs w:val="21"/>
        </w:rPr>
      </w:pPr>
      <w:r>
        <w:rPr>
          <w:rFonts w:hint="eastAsia" w:ascii="宋体" w:hAnsi="宋体" w:cs="宋体"/>
          <w:szCs w:val="21"/>
        </w:rPr>
        <w:t>（3）其它相关事项。</w:t>
      </w:r>
    </w:p>
    <w:p w14:paraId="6E93959C">
      <w:pPr>
        <w:spacing w:line="360" w:lineRule="auto"/>
        <w:rPr>
          <w:rFonts w:ascii="宋体" w:hAnsi="宋体" w:cs="宋体"/>
          <w:szCs w:val="21"/>
        </w:rPr>
      </w:pPr>
      <w:r>
        <w:rPr>
          <w:rFonts w:hint="eastAsia" w:ascii="宋体" w:hAnsi="宋体" w:cs="宋体"/>
          <w:szCs w:val="21"/>
        </w:rPr>
        <w:t>35.2.4原征集文件有实质性变动的，谈判小组应当通过采购代理机构通知参加谈判的供应商。</w:t>
      </w:r>
    </w:p>
    <w:p w14:paraId="132C8379">
      <w:pPr>
        <w:spacing w:line="360" w:lineRule="auto"/>
        <w:rPr>
          <w:rFonts w:ascii="宋体" w:hAnsi="宋体" w:cs="宋体"/>
          <w:szCs w:val="21"/>
        </w:rPr>
      </w:pPr>
      <w:r>
        <w:rPr>
          <w:rFonts w:hint="eastAsia" w:ascii="宋体" w:hAnsi="宋体" w:cs="宋体"/>
          <w:szCs w:val="21"/>
        </w:rPr>
        <w:t>35.2.5谈判小组可以用书面形式要求供应商对其谈判应答文件含义不明确的内容作必要的澄清或者说明，重要问题供应商应以书面形式进行澄清、说明。</w:t>
      </w:r>
    </w:p>
    <w:p w14:paraId="6153D5E4">
      <w:pPr>
        <w:spacing w:line="360" w:lineRule="auto"/>
        <w:rPr>
          <w:rFonts w:ascii="宋体" w:hAnsi="宋体" w:cs="宋体"/>
          <w:szCs w:val="21"/>
        </w:rPr>
      </w:pPr>
      <w:r>
        <w:rPr>
          <w:rFonts w:hint="eastAsia" w:ascii="宋体" w:hAnsi="宋体" w:cs="宋体"/>
          <w:szCs w:val="21"/>
        </w:rPr>
        <w:t>35.2.6 允许供应商在谈判结束之前根据谈判小组提出的内容进行澄清、修改或完善，或对项目方案进行相应的调整。</w:t>
      </w:r>
    </w:p>
    <w:p w14:paraId="5C71B309">
      <w:pPr>
        <w:spacing w:line="360" w:lineRule="auto"/>
        <w:rPr>
          <w:rFonts w:ascii="宋体" w:hAnsi="宋体" w:cs="宋体"/>
          <w:szCs w:val="21"/>
        </w:rPr>
      </w:pPr>
      <w:r>
        <w:rPr>
          <w:rFonts w:hint="eastAsia" w:ascii="宋体" w:hAnsi="宋体" w:cs="宋体"/>
          <w:szCs w:val="21"/>
        </w:rPr>
        <w:t>35.2.7供应商对谈判应答文件进行修改的，都应形成文字材料，并经供应商谈判授权人签字认可。</w:t>
      </w:r>
    </w:p>
    <w:p w14:paraId="19EE1606">
      <w:pPr>
        <w:spacing w:line="360" w:lineRule="auto"/>
        <w:rPr>
          <w:rFonts w:ascii="宋体" w:hAnsi="宋体" w:cs="宋体"/>
          <w:szCs w:val="21"/>
        </w:rPr>
      </w:pPr>
      <w:r>
        <w:rPr>
          <w:rFonts w:hint="eastAsia" w:ascii="宋体" w:hAnsi="宋体" w:cs="宋体"/>
          <w:szCs w:val="21"/>
        </w:rPr>
        <w:t>35.2.8</w:t>
      </w:r>
      <w:r>
        <w:rPr>
          <w:rFonts w:hint="eastAsia" w:ascii="宋体" w:hAnsi="宋体"/>
          <w:szCs w:val="21"/>
        </w:rPr>
        <w:t>谈判小组将根据采购需求与供应商进行进行总计不少于三轮谈判、报价(含首轮报价)，</w:t>
      </w:r>
      <w:r>
        <w:rPr>
          <w:rFonts w:hint="eastAsia" w:ascii="宋体" w:hAnsi="宋体" w:cs="宋体"/>
          <w:szCs w:val="21"/>
        </w:rPr>
        <w:t>供应商应在规定的时间内提出最后的报价以及书面承诺。</w:t>
      </w:r>
    </w:p>
    <w:p w14:paraId="3ABCB623">
      <w:pPr>
        <w:rPr>
          <w:rFonts w:cs="仿宋" w:asciiTheme="minorEastAsia" w:hAnsiTheme="minorEastAsia" w:eastAsiaTheme="minorEastAsia"/>
          <w:szCs w:val="21"/>
        </w:rPr>
      </w:pPr>
      <w:r>
        <w:rPr>
          <w:rFonts w:hint="eastAsia" w:ascii="宋体" w:hAnsi="宋体" w:cs="宋体"/>
          <w:szCs w:val="21"/>
        </w:rPr>
        <w:t>35.2.9谈判小组将对谈判过程进行记录，以存档备查。</w:t>
      </w:r>
    </w:p>
    <w:p w14:paraId="23F6993E">
      <w:pPr>
        <w:rPr>
          <w:rFonts w:cs="仿宋" w:asciiTheme="minorEastAsia" w:hAnsiTheme="minorEastAsia" w:eastAsiaTheme="minorEastAsia"/>
        </w:rPr>
      </w:pPr>
    </w:p>
    <w:p w14:paraId="12FB5620">
      <w:pPr>
        <w:rPr>
          <w:rFonts w:cs="仿宋" w:asciiTheme="minorEastAsia" w:hAnsiTheme="minorEastAsia" w:eastAsiaTheme="minorEastAsia"/>
        </w:rPr>
      </w:pPr>
      <w:r>
        <w:rPr>
          <w:rFonts w:cs="仿宋" w:asciiTheme="minorEastAsia" w:hAnsiTheme="minorEastAsia" w:eastAsiaTheme="minorEastAsia"/>
        </w:rPr>
        <w:br w:type="page"/>
      </w:r>
    </w:p>
    <w:p w14:paraId="17963E49">
      <w:pPr>
        <w:pStyle w:val="2"/>
      </w:pPr>
    </w:p>
    <w:p w14:paraId="6137F196">
      <w:pPr>
        <w:rPr>
          <w:rFonts w:cs="仿宋" w:asciiTheme="minorEastAsia" w:hAnsiTheme="minorEastAsia" w:eastAsiaTheme="minorEastAsia"/>
        </w:rPr>
      </w:pPr>
    </w:p>
    <w:p w14:paraId="468CB281">
      <w:pPr>
        <w:rPr>
          <w:rFonts w:cs="仿宋" w:asciiTheme="minorEastAsia" w:hAnsiTheme="minorEastAsia" w:eastAsiaTheme="minorEastAsia"/>
        </w:rPr>
      </w:pPr>
    </w:p>
    <w:p w14:paraId="3B5D656F">
      <w:pPr>
        <w:rPr>
          <w:rFonts w:cs="仿宋" w:asciiTheme="minorEastAsia" w:hAnsiTheme="minorEastAsia" w:eastAsiaTheme="minorEastAsia"/>
        </w:rPr>
      </w:pPr>
    </w:p>
    <w:p w14:paraId="44019670">
      <w:pPr>
        <w:rPr>
          <w:rFonts w:cs="仿宋" w:asciiTheme="minorEastAsia" w:hAnsiTheme="minorEastAsia" w:eastAsiaTheme="minorEastAsia"/>
        </w:rPr>
      </w:pPr>
    </w:p>
    <w:p w14:paraId="593C9D79">
      <w:pPr>
        <w:rPr>
          <w:rFonts w:cs="仿宋" w:asciiTheme="minorEastAsia" w:hAnsiTheme="minorEastAsia" w:eastAsiaTheme="minorEastAsia"/>
        </w:rPr>
      </w:pPr>
    </w:p>
    <w:p w14:paraId="13480DC2">
      <w:pPr>
        <w:rPr>
          <w:rFonts w:cs="仿宋" w:asciiTheme="minorEastAsia" w:hAnsiTheme="minorEastAsia" w:eastAsiaTheme="minorEastAsia"/>
        </w:rPr>
      </w:pPr>
    </w:p>
    <w:p w14:paraId="4B5CC544">
      <w:pPr>
        <w:rPr>
          <w:rFonts w:cs="仿宋" w:asciiTheme="minorEastAsia" w:hAnsiTheme="minorEastAsia" w:eastAsiaTheme="minorEastAsia"/>
        </w:rPr>
      </w:pPr>
    </w:p>
    <w:p w14:paraId="3805E4C2">
      <w:pPr>
        <w:rPr>
          <w:rFonts w:cs="仿宋" w:asciiTheme="minorEastAsia" w:hAnsiTheme="minorEastAsia" w:eastAsiaTheme="minorEastAsia"/>
        </w:rPr>
      </w:pPr>
    </w:p>
    <w:p w14:paraId="7855558E">
      <w:pPr>
        <w:rPr>
          <w:rFonts w:cs="仿宋" w:asciiTheme="minorEastAsia" w:hAnsiTheme="minorEastAsia" w:eastAsiaTheme="minorEastAsia"/>
        </w:rPr>
      </w:pPr>
    </w:p>
    <w:p w14:paraId="05F493A7">
      <w:pPr>
        <w:rPr>
          <w:rFonts w:cs="仿宋" w:asciiTheme="minorEastAsia" w:hAnsiTheme="minorEastAsia" w:eastAsiaTheme="minorEastAsia"/>
        </w:rPr>
      </w:pPr>
    </w:p>
    <w:p w14:paraId="6AE16F57">
      <w:pPr>
        <w:rPr>
          <w:rFonts w:cs="仿宋" w:asciiTheme="minorEastAsia" w:hAnsiTheme="minorEastAsia" w:eastAsiaTheme="minorEastAsia"/>
        </w:rPr>
      </w:pPr>
    </w:p>
    <w:p w14:paraId="0CE9D34B">
      <w:pPr>
        <w:rPr>
          <w:rFonts w:cs="仿宋" w:asciiTheme="minorEastAsia" w:hAnsiTheme="minorEastAsia" w:eastAsiaTheme="minorEastAsia"/>
        </w:rPr>
      </w:pPr>
    </w:p>
    <w:p w14:paraId="768461D2">
      <w:pPr>
        <w:rPr>
          <w:rFonts w:cs="仿宋" w:asciiTheme="minorEastAsia" w:hAnsiTheme="minorEastAsia" w:eastAsiaTheme="minorEastAsia"/>
        </w:rPr>
      </w:pPr>
    </w:p>
    <w:p w14:paraId="2D02AF90">
      <w:pPr>
        <w:rPr>
          <w:rFonts w:cs="仿宋" w:asciiTheme="minorEastAsia" w:hAnsiTheme="minorEastAsia" w:eastAsiaTheme="minorEastAsia"/>
        </w:rPr>
      </w:pPr>
    </w:p>
    <w:p w14:paraId="2B5B9D49">
      <w:pPr>
        <w:adjustRightInd w:val="0"/>
        <w:snapToGrid w:val="0"/>
        <w:spacing w:line="300" w:lineRule="auto"/>
        <w:jc w:val="center"/>
        <w:rPr>
          <w:rFonts w:cs="仿宋" w:asciiTheme="minorEastAsia" w:hAnsiTheme="minorEastAsia" w:eastAsiaTheme="minorEastAsia"/>
          <w:b/>
          <w:snapToGrid w:val="0"/>
          <w:kern w:val="0"/>
          <w:sz w:val="56"/>
          <w:szCs w:val="96"/>
        </w:rPr>
      </w:pPr>
    </w:p>
    <w:p w14:paraId="6856EB60">
      <w:pPr>
        <w:adjustRightInd w:val="0"/>
        <w:snapToGrid w:val="0"/>
        <w:spacing w:line="300" w:lineRule="auto"/>
        <w:jc w:val="center"/>
        <w:rPr>
          <w:rFonts w:cs="仿宋" w:asciiTheme="minorEastAsia" w:hAnsiTheme="minorEastAsia" w:eastAsiaTheme="minorEastAsia"/>
          <w:b/>
          <w:snapToGrid w:val="0"/>
          <w:kern w:val="0"/>
          <w:sz w:val="56"/>
          <w:szCs w:val="96"/>
        </w:rPr>
      </w:pPr>
    </w:p>
    <w:p w14:paraId="01C49585">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第六部分</w:t>
      </w:r>
    </w:p>
    <w:p w14:paraId="2F0A5FDC">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附件</w:t>
      </w:r>
    </w:p>
    <w:p w14:paraId="50F2B82F">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14:paraId="7602DF07">
      <w:pPr>
        <w:spacing w:line="360" w:lineRule="auto"/>
        <w:rPr>
          <w:rFonts w:cs="仿宋" w:asciiTheme="minorEastAsia" w:hAnsiTheme="minorEastAsia" w:eastAsiaTheme="minorEastAsia"/>
        </w:rPr>
      </w:pPr>
      <w:r>
        <w:rPr>
          <w:rFonts w:hint="eastAsia" w:cs="仿宋" w:asciiTheme="minorEastAsia" w:hAnsiTheme="minorEastAsia" w:eastAsiaTheme="minorEastAsia"/>
        </w:rPr>
        <w:t>附件1</w:t>
      </w:r>
    </w:p>
    <w:p w14:paraId="107B9023">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履约保证金</w:t>
      </w:r>
    </w:p>
    <w:p w14:paraId="36F1E110">
      <w:pPr>
        <w:adjustRightInd w:val="0"/>
        <w:snapToGrid w:val="0"/>
        <w:spacing w:line="300" w:lineRule="auto"/>
        <w:rPr>
          <w:rFonts w:cs="仿宋" w:asciiTheme="minorEastAsia" w:hAnsiTheme="minorEastAsia" w:eastAsiaTheme="minorEastAsia"/>
          <w:snapToGrid w:val="0"/>
          <w:kern w:val="0"/>
        </w:rPr>
      </w:pPr>
    </w:p>
    <w:p w14:paraId="5D06F0D1">
      <w:pPr>
        <w:adjustRightInd w:val="0"/>
        <w:snapToGrid w:val="0"/>
        <w:spacing w:line="300" w:lineRule="auto"/>
        <w:rPr>
          <w:rFonts w:cs="仿宋" w:asciiTheme="minorEastAsia" w:hAnsiTheme="minorEastAsia" w:eastAsiaTheme="minorEastAsia"/>
          <w:snapToGrid w:val="0"/>
          <w:kern w:val="0"/>
        </w:rPr>
      </w:pPr>
    </w:p>
    <w:p w14:paraId="02B14F3E">
      <w:pPr>
        <w:adjustRightInd w:val="0"/>
        <w:snapToGrid w:val="0"/>
        <w:spacing w:line="300" w:lineRule="auto"/>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银行保函（格式）</w:t>
      </w:r>
    </w:p>
    <w:p w14:paraId="59D15E9B">
      <w:pPr>
        <w:rPr>
          <w:rFonts w:cs="仿宋" w:asciiTheme="minorEastAsia" w:hAnsiTheme="minorEastAsia" w:eastAsiaTheme="minorEastAsia"/>
        </w:rPr>
      </w:pPr>
    </w:p>
    <w:p w14:paraId="60DC442B">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rPr>
        <w:t xml:space="preserve">  </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w:t>
      </w:r>
    </w:p>
    <w:p w14:paraId="54AB87F7">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本保函是为</w:t>
      </w:r>
      <w:r>
        <w:rPr>
          <w:rFonts w:hint="eastAsia" w:cs="仿宋" w:asciiTheme="minorEastAsia" w:hAnsiTheme="minorEastAsia" w:eastAsiaTheme="minorEastAsia"/>
          <w:sz w:val="22"/>
          <w:u w:val="single"/>
        </w:rPr>
        <w:t>(卖方名称)</w:t>
      </w:r>
      <w:r>
        <w:rPr>
          <w:rFonts w:hint="eastAsia" w:cs="仿宋" w:asciiTheme="minorEastAsia" w:hAnsiTheme="minorEastAsia" w:eastAsiaTheme="minorEastAsia"/>
          <w:sz w:val="22"/>
        </w:rPr>
        <w:t>(以下简称卖方)于</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年</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月</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日与</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(以下简称买方)签订的第</w:t>
      </w:r>
      <w:r>
        <w:rPr>
          <w:rFonts w:hint="eastAsia" w:cs="仿宋" w:asciiTheme="minorEastAsia" w:hAnsiTheme="minorEastAsia" w:eastAsiaTheme="minorEastAsia"/>
          <w:sz w:val="22"/>
          <w:u w:val="single"/>
        </w:rPr>
        <w:t>(合同编号)</w:t>
      </w:r>
      <w:r>
        <w:rPr>
          <w:rFonts w:hint="eastAsia" w:cs="仿宋" w:asciiTheme="minorEastAsia" w:hAnsiTheme="minorEastAsia" w:eastAsiaTheme="minorEastAsia"/>
          <w:sz w:val="22"/>
        </w:rPr>
        <w:t>号供货合同而提供的履约担保。</w:t>
      </w:r>
    </w:p>
    <w:p w14:paraId="42273F44">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r>
        <w:rPr>
          <w:rFonts w:hint="eastAsia" w:cs="仿宋" w:asciiTheme="minorEastAsia" w:hAnsiTheme="minorEastAsia" w:eastAsiaTheme="minorEastAsia"/>
          <w:sz w:val="22"/>
          <w:u w:val="single"/>
        </w:rPr>
        <w:t>(银行名称)</w:t>
      </w:r>
      <w:r>
        <w:rPr>
          <w:rFonts w:hint="eastAsia" w:cs="仿宋" w:asciiTheme="minorEastAsia" w:hAnsiTheme="minorEastAsia" w:eastAsiaTheme="minorEastAsia"/>
          <w:sz w:val="22"/>
        </w:rPr>
        <w:t>以及他的继承人和受让人无条件地、不可撤销地约束本行，一旦收到</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书面提出卖方不能履行合同约定，发生下列违约条件之一的通知时，我行保证付给</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金额为</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万元人民币的保证金。</w:t>
      </w:r>
    </w:p>
    <w:p w14:paraId="360CBA0A">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p>
    <w:p w14:paraId="0F05A8DE">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(一)违约条件：</w:t>
      </w:r>
    </w:p>
    <w:p w14:paraId="6F4E7FA9">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·在合同有效期内，卖方拒绝履行合同；</w:t>
      </w:r>
    </w:p>
    <w:p w14:paraId="2BA35A46">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·在合同有效期内，卖方未经买方同意，变更供货合同的主要条款；</w:t>
      </w:r>
    </w:p>
    <w:p w14:paraId="5CD0ABD3">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·产品质量在质保期内，经省级质量检验、监督机关鉴定产品质量发生问题；</w:t>
      </w:r>
    </w:p>
    <w:p w14:paraId="29A7C01F">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(二)在合同执行期间，供需双方发生了纠纷，履约保函有效期限可延长到纠纷得到最终解决完毕后。</w:t>
      </w:r>
    </w:p>
    <w:p w14:paraId="48402D8A">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(三)本保函自开立之日起有效，在接到买方的《验收合格的通知》后7日内予以退还。</w:t>
      </w:r>
    </w:p>
    <w:p w14:paraId="5039D2C0">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p>
    <w:p w14:paraId="64282554">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(卖方银行名称)：</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(公章)</w:t>
      </w:r>
    </w:p>
    <w:p w14:paraId="2139888E">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p>
    <w:p w14:paraId="48A382C5">
      <w:pPr>
        <w:pStyle w:val="42"/>
        <w:adjustRightInd w:val="0"/>
        <w:snapToGrid w:val="0"/>
        <w:spacing w:line="360" w:lineRule="auto"/>
        <w:ind w:firstLine="420"/>
        <w:rPr>
          <w:rFonts w:cs="仿宋" w:asciiTheme="minorEastAsia" w:hAnsiTheme="minorEastAsia" w:eastAsiaTheme="minorEastAsia"/>
        </w:rPr>
      </w:pPr>
      <w:r>
        <w:rPr>
          <w:rFonts w:hint="eastAsia" w:cs="仿宋" w:asciiTheme="minorEastAsia" w:hAnsiTheme="minorEastAsia" w:eastAsiaTheme="minorEastAsia"/>
          <w:sz w:val="22"/>
        </w:rPr>
        <w:t xml:space="preserve">                                   签 发 人 签 字：</w:t>
      </w:r>
      <w:r>
        <w:rPr>
          <w:rFonts w:hint="eastAsia" w:cs="仿宋" w:asciiTheme="minorEastAsia" w:hAnsiTheme="minorEastAsia" w:eastAsiaTheme="minorEastAsia"/>
          <w:sz w:val="22"/>
          <w:u w:val="single"/>
        </w:rPr>
        <w:t xml:space="preserve">            </w:t>
      </w:r>
    </w:p>
    <w:p w14:paraId="19F0250C">
      <w:pPr>
        <w:pStyle w:val="43"/>
        <w:adjustRightInd w:val="0"/>
        <w:spacing w:line="360" w:lineRule="auto"/>
        <w:rPr>
          <w:rFonts w:cs="仿宋" w:asciiTheme="minorEastAsia" w:hAnsiTheme="minorEastAsia" w:eastAsiaTheme="minorEastAsia"/>
        </w:rPr>
      </w:pPr>
      <w:r>
        <w:rPr>
          <w:rFonts w:hint="eastAsia" w:cs="宋体" w:asciiTheme="minorEastAsia" w:hAnsiTheme="minorEastAsia" w:eastAsiaTheme="minorEastAsia"/>
        </w:rPr>
        <w:t> </w:t>
      </w:r>
    </w:p>
    <w:p w14:paraId="4302ADEE">
      <w:pPr>
        <w:rPr>
          <w:rFonts w:cs="仿宋" w:asciiTheme="minorEastAsia" w:hAnsiTheme="minorEastAsia" w:eastAsiaTheme="minorEastAsia"/>
        </w:rPr>
      </w:pPr>
    </w:p>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3"/>
    </w:sdtPr>
    <w:sdtContent>
      <w:p w14:paraId="4FEB0AA8">
        <w:pPr>
          <w:pStyle w:val="16"/>
          <w:jc w:val="center"/>
        </w:pPr>
        <w:r>
          <w:fldChar w:fldCharType="begin"/>
        </w:r>
        <w:r>
          <w:instrText xml:space="preserve"> PAGE   \* MERGEFORMAT </w:instrText>
        </w:r>
        <w:r>
          <w:fldChar w:fldCharType="separate"/>
        </w:r>
        <w:r>
          <w:rPr>
            <w:lang w:val="zh-CN"/>
          </w:rPr>
          <w:t>20</w:t>
        </w:r>
        <w:r>
          <w:rPr>
            <w:lang w:val="zh-CN"/>
          </w:rPr>
          <w:fldChar w:fldCharType="end"/>
        </w:r>
      </w:p>
    </w:sdtContent>
  </w:sdt>
  <w:p w14:paraId="7CDEFB6D">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4"/>
    </w:sdtPr>
    <w:sdtContent>
      <w:p w14:paraId="658FD791">
        <w:pPr>
          <w:pStyle w:val="16"/>
          <w:jc w:val="center"/>
        </w:pPr>
      </w:p>
    </w:sdtContent>
  </w:sdt>
  <w:p w14:paraId="5219C1AB">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ED2BD">
    <w:pPr>
      <w:pStyle w:val="17"/>
      <w:jc w:val="left"/>
      <w:rPr>
        <w:sz w:val="16"/>
        <w:szCs w:val="16"/>
      </w:rPr>
    </w:pPr>
    <w:r>
      <w:rPr>
        <w:rFonts w:hint="eastAsia"/>
        <w:sz w:val="16"/>
        <w:szCs w:val="16"/>
      </w:rPr>
      <w:t>项目名称：</w:t>
    </w:r>
    <w:r>
      <w:rPr>
        <w:rFonts w:hint="eastAsia" w:ascii="宋体" w:hAnsi="宋体"/>
        <w:sz w:val="16"/>
        <w:szCs w:val="16"/>
      </w:rPr>
      <w:t xml:space="preserve">警训支队布草洗涤服务采购项目 </w:t>
    </w:r>
    <w:r>
      <w:rPr>
        <w:rFonts w:hint="eastAsia"/>
        <w:sz w:val="16"/>
        <w:szCs w:val="16"/>
      </w:rPr>
      <w:t xml:space="preserve">                                        项目编号：</w:t>
    </w:r>
    <w:r>
      <w:rPr>
        <w:rFonts w:hint="eastAsia" w:asciiTheme="minorEastAsia" w:hAnsiTheme="minorEastAsia" w:eastAsiaTheme="minorEastAsia"/>
        <w:sz w:val="16"/>
        <w:szCs w:val="16"/>
      </w:rPr>
      <w:t>SZZZ2024-QC0379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71432"/>
    <w:multiLevelType w:val="multilevel"/>
    <w:tmpl w:val="0E271432"/>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4F52D1"/>
    <w:multiLevelType w:val="multilevel"/>
    <w:tmpl w:val="234F52D1"/>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BB6303B"/>
    <w:multiLevelType w:val="singleLevel"/>
    <w:tmpl w:val="7BB6303B"/>
    <w:lvl w:ilvl="0" w:tentative="0">
      <w:start w:val="1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081812"/>
    <w:rsid w:val="00000DEE"/>
    <w:rsid w:val="00000FB1"/>
    <w:rsid w:val="00001625"/>
    <w:rsid w:val="000027AA"/>
    <w:rsid w:val="000036E1"/>
    <w:rsid w:val="00003A4B"/>
    <w:rsid w:val="000042A9"/>
    <w:rsid w:val="0000490F"/>
    <w:rsid w:val="00007ECB"/>
    <w:rsid w:val="00010908"/>
    <w:rsid w:val="000111D4"/>
    <w:rsid w:val="00012B85"/>
    <w:rsid w:val="00014E98"/>
    <w:rsid w:val="00014F7F"/>
    <w:rsid w:val="000159CF"/>
    <w:rsid w:val="0002500E"/>
    <w:rsid w:val="00027833"/>
    <w:rsid w:val="000309C1"/>
    <w:rsid w:val="00031BF4"/>
    <w:rsid w:val="00031E82"/>
    <w:rsid w:val="00032DB0"/>
    <w:rsid w:val="00036165"/>
    <w:rsid w:val="00037412"/>
    <w:rsid w:val="00037D52"/>
    <w:rsid w:val="0004078C"/>
    <w:rsid w:val="00042A65"/>
    <w:rsid w:val="00044855"/>
    <w:rsid w:val="00046786"/>
    <w:rsid w:val="00050F57"/>
    <w:rsid w:val="0005394E"/>
    <w:rsid w:val="00053B8A"/>
    <w:rsid w:val="000550D9"/>
    <w:rsid w:val="00055193"/>
    <w:rsid w:val="000552FD"/>
    <w:rsid w:val="00056E7C"/>
    <w:rsid w:val="000600D8"/>
    <w:rsid w:val="00060560"/>
    <w:rsid w:val="00060B4F"/>
    <w:rsid w:val="00060C6A"/>
    <w:rsid w:val="0006135A"/>
    <w:rsid w:val="0006220B"/>
    <w:rsid w:val="00063D38"/>
    <w:rsid w:val="00064382"/>
    <w:rsid w:val="000658E0"/>
    <w:rsid w:val="00066E7B"/>
    <w:rsid w:val="000679AB"/>
    <w:rsid w:val="00072AAB"/>
    <w:rsid w:val="00072F2B"/>
    <w:rsid w:val="00075875"/>
    <w:rsid w:val="00076401"/>
    <w:rsid w:val="000771B0"/>
    <w:rsid w:val="00077328"/>
    <w:rsid w:val="00080FB8"/>
    <w:rsid w:val="00081812"/>
    <w:rsid w:val="00081C0F"/>
    <w:rsid w:val="00084B91"/>
    <w:rsid w:val="000851F4"/>
    <w:rsid w:val="00090B60"/>
    <w:rsid w:val="00091819"/>
    <w:rsid w:val="0009267F"/>
    <w:rsid w:val="0009269B"/>
    <w:rsid w:val="00092AEF"/>
    <w:rsid w:val="00094CF9"/>
    <w:rsid w:val="00097F99"/>
    <w:rsid w:val="000A02CF"/>
    <w:rsid w:val="000A1CFD"/>
    <w:rsid w:val="000A3436"/>
    <w:rsid w:val="000B12D8"/>
    <w:rsid w:val="000B3159"/>
    <w:rsid w:val="000B366F"/>
    <w:rsid w:val="000B43BC"/>
    <w:rsid w:val="000B44BC"/>
    <w:rsid w:val="000B61F1"/>
    <w:rsid w:val="000B7A52"/>
    <w:rsid w:val="000C05F3"/>
    <w:rsid w:val="000C1276"/>
    <w:rsid w:val="000C1AEC"/>
    <w:rsid w:val="000C2FC4"/>
    <w:rsid w:val="000C4937"/>
    <w:rsid w:val="000C4E01"/>
    <w:rsid w:val="000C7610"/>
    <w:rsid w:val="000C7E05"/>
    <w:rsid w:val="000D0AE1"/>
    <w:rsid w:val="000D2206"/>
    <w:rsid w:val="000D3053"/>
    <w:rsid w:val="000D4339"/>
    <w:rsid w:val="000D4C91"/>
    <w:rsid w:val="000D74FE"/>
    <w:rsid w:val="000E1731"/>
    <w:rsid w:val="000E1CBF"/>
    <w:rsid w:val="000E29C3"/>
    <w:rsid w:val="000E647C"/>
    <w:rsid w:val="000E6F68"/>
    <w:rsid w:val="000F41DF"/>
    <w:rsid w:val="000F4460"/>
    <w:rsid w:val="000F4536"/>
    <w:rsid w:val="000F47BD"/>
    <w:rsid w:val="000F4EBB"/>
    <w:rsid w:val="000F5214"/>
    <w:rsid w:val="000F5791"/>
    <w:rsid w:val="001024AE"/>
    <w:rsid w:val="0010276A"/>
    <w:rsid w:val="001036FB"/>
    <w:rsid w:val="0010378A"/>
    <w:rsid w:val="00103A07"/>
    <w:rsid w:val="00103BD6"/>
    <w:rsid w:val="00103D0B"/>
    <w:rsid w:val="00103E57"/>
    <w:rsid w:val="00105AE0"/>
    <w:rsid w:val="00106334"/>
    <w:rsid w:val="001071FF"/>
    <w:rsid w:val="001075BE"/>
    <w:rsid w:val="00107C01"/>
    <w:rsid w:val="0011046C"/>
    <w:rsid w:val="0011120F"/>
    <w:rsid w:val="00112047"/>
    <w:rsid w:val="001120AB"/>
    <w:rsid w:val="00113460"/>
    <w:rsid w:val="00113EC5"/>
    <w:rsid w:val="0011733C"/>
    <w:rsid w:val="00117B1C"/>
    <w:rsid w:val="001206C4"/>
    <w:rsid w:val="00120905"/>
    <w:rsid w:val="00120B4D"/>
    <w:rsid w:val="00120DDA"/>
    <w:rsid w:val="001235DF"/>
    <w:rsid w:val="00124947"/>
    <w:rsid w:val="001253C1"/>
    <w:rsid w:val="001300A8"/>
    <w:rsid w:val="001307EF"/>
    <w:rsid w:val="00130FFD"/>
    <w:rsid w:val="00131B9B"/>
    <w:rsid w:val="00131FE1"/>
    <w:rsid w:val="00132477"/>
    <w:rsid w:val="0013247D"/>
    <w:rsid w:val="0013568E"/>
    <w:rsid w:val="0013577A"/>
    <w:rsid w:val="0013596A"/>
    <w:rsid w:val="0014049D"/>
    <w:rsid w:val="00140EDB"/>
    <w:rsid w:val="001426B3"/>
    <w:rsid w:val="0014383F"/>
    <w:rsid w:val="001451A4"/>
    <w:rsid w:val="001453CB"/>
    <w:rsid w:val="001464E7"/>
    <w:rsid w:val="00151DFD"/>
    <w:rsid w:val="0015310D"/>
    <w:rsid w:val="00155BE9"/>
    <w:rsid w:val="0016076C"/>
    <w:rsid w:val="00161DC5"/>
    <w:rsid w:val="00162AE2"/>
    <w:rsid w:val="00165708"/>
    <w:rsid w:val="001657A3"/>
    <w:rsid w:val="001667AC"/>
    <w:rsid w:val="00166E7A"/>
    <w:rsid w:val="001713CD"/>
    <w:rsid w:val="001746A8"/>
    <w:rsid w:val="00174A8D"/>
    <w:rsid w:val="00176B5D"/>
    <w:rsid w:val="00177F3D"/>
    <w:rsid w:val="00180273"/>
    <w:rsid w:val="001807E0"/>
    <w:rsid w:val="00180DC2"/>
    <w:rsid w:val="0018134E"/>
    <w:rsid w:val="00182643"/>
    <w:rsid w:val="001830D7"/>
    <w:rsid w:val="00183156"/>
    <w:rsid w:val="00185010"/>
    <w:rsid w:val="001850C4"/>
    <w:rsid w:val="00185AE8"/>
    <w:rsid w:val="001906D1"/>
    <w:rsid w:val="0019175D"/>
    <w:rsid w:val="00192E27"/>
    <w:rsid w:val="00194764"/>
    <w:rsid w:val="00194B76"/>
    <w:rsid w:val="00197685"/>
    <w:rsid w:val="0019777D"/>
    <w:rsid w:val="001A0D90"/>
    <w:rsid w:val="001A0EB6"/>
    <w:rsid w:val="001A1302"/>
    <w:rsid w:val="001A3FF6"/>
    <w:rsid w:val="001A4995"/>
    <w:rsid w:val="001A529F"/>
    <w:rsid w:val="001A7897"/>
    <w:rsid w:val="001B0736"/>
    <w:rsid w:val="001B14D5"/>
    <w:rsid w:val="001B4B65"/>
    <w:rsid w:val="001B4C23"/>
    <w:rsid w:val="001B7737"/>
    <w:rsid w:val="001C0532"/>
    <w:rsid w:val="001C1A99"/>
    <w:rsid w:val="001C1FFB"/>
    <w:rsid w:val="001C7743"/>
    <w:rsid w:val="001D2455"/>
    <w:rsid w:val="001D3874"/>
    <w:rsid w:val="001D6198"/>
    <w:rsid w:val="001D6B2F"/>
    <w:rsid w:val="001D7A7C"/>
    <w:rsid w:val="001E1BC7"/>
    <w:rsid w:val="001E1F63"/>
    <w:rsid w:val="001E398A"/>
    <w:rsid w:val="001E3C4F"/>
    <w:rsid w:val="001E4745"/>
    <w:rsid w:val="001E5169"/>
    <w:rsid w:val="001E60D1"/>
    <w:rsid w:val="001E6EA6"/>
    <w:rsid w:val="001E7031"/>
    <w:rsid w:val="001F0977"/>
    <w:rsid w:val="001F2061"/>
    <w:rsid w:val="001F259A"/>
    <w:rsid w:val="001F2D31"/>
    <w:rsid w:val="001F36D4"/>
    <w:rsid w:val="001F3E52"/>
    <w:rsid w:val="001F41CB"/>
    <w:rsid w:val="001F52C4"/>
    <w:rsid w:val="001F5A31"/>
    <w:rsid w:val="00200D8A"/>
    <w:rsid w:val="00201055"/>
    <w:rsid w:val="00204553"/>
    <w:rsid w:val="00205432"/>
    <w:rsid w:val="00210328"/>
    <w:rsid w:val="00211E1C"/>
    <w:rsid w:val="002131F0"/>
    <w:rsid w:val="002134C1"/>
    <w:rsid w:val="00213858"/>
    <w:rsid w:val="002140DF"/>
    <w:rsid w:val="002151EE"/>
    <w:rsid w:val="00215F43"/>
    <w:rsid w:val="00216C79"/>
    <w:rsid w:val="002172FA"/>
    <w:rsid w:val="00220F93"/>
    <w:rsid w:val="00222344"/>
    <w:rsid w:val="00223218"/>
    <w:rsid w:val="0022493F"/>
    <w:rsid w:val="002259B7"/>
    <w:rsid w:val="00226BD7"/>
    <w:rsid w:val="00230218"/>
    <w:rsid w:val="002304B2"/>
    <w:rsid w:val="002329BE"/>
    <w:rsid w:val="00233D9F"/>
    <w:rsid w:val="00235A7C"/>
    <w:rsid w:val="002366EC"/>
    <w:rsid w:val="00240B70"/>
    <w:rsid w:val="00241247"/>
    <w:rsid w:val="00241A35"/>
    <w:rsid w:val="00244EDA"/>
    <w:rsid w:val="002463C2"/>
    <w:rsid w:val="0024707D"/>
    <w:rsid w:val="00250C9F"/>
    <w:rsid w:val="00251EE6"/>
    <w:rsid w:val="00252A0E"/>
    <w:rsid w:val="00255F58"/>
    <w:rsid w:val="00256F3C"/>
    <w:rsid w:val="002606B7"/>
    <w:rsid w:val="0026095A"/>
    <w:rsid w:val="00260974"/>
    <w:rsid w:val="00264F5D"/>
    <w:rsid w:val="00265825"/>
    <w:rsid w:val="002666B6"/>
    <w:rsid w:val="00270AB4"/>
    <w:rsid w:val="0027125F"/>
    <w:rsid w:val="002735DB"/>
    <w:rsid w:val="0027386D"/>
    <w:rsid w:val="00273CE7"/>
    <w:rsid w:val="00274BCF"/>
    <w:rsid w:val="00281900"/>
    <w:rsid w:val="00282D0F"/>
    <w:rsid w:val="00282D7C"/>
    <w:rsid w:val="00284440"/>
    <w:rsid w:val="00285487"/>
    <w:rsid w:val="00290049"/>
    <w:rsid w:val="00290ADE"/>
    <w:rsid w:val="0029352A"/>
    <w:rsid w:val="002938FD"/>
    <w:rsid w:val="00293E95"/>
    <w:rsid w:val="00294665"/>
    <w:rsid w:val="002965F8"/>
    <w:rsid w:val="002A06F5"/>
    <w:rsid w:val="002A179B"/>
    <w:rsid w:val="002A3990"/>
    <w:rsid w:val="002A78DB"/>
    <w:rsid w:val="002B11F2"/>
    <w:rsid w:val="002B162E"/>
    <w:rsid w:val="002B306C"/>
    <w:rsid w:val="002C3E2A"/>
    <w:rsid w:val="002C4DC9"/>
    <w:rsid w:val="002C54D8"/>
    <w:rsid w:val="002C5B23"/>
    <w:rsid w:val="002C5F7F"/>
    <w:rsid w:val="002D285F"/>
    <w:rsid w:val="002D4AE6"/>
    <w:rsid w:val="002D51A5"/>
    <w:rsid w:val="002D6413"/>
    <w:rsid w:val="002D78BD"/>
    <w:rsid w:val="002E071E"/>
    <w:rsid w:val="002E6738"/>
    <w:rsid w:val="002F30E6"/>
    <w:rsid w:val="002F323B"/>
    <w:rsid w:val="002F34AF"/>
    <w:rsid w:val="002F463F"/>
    <w:rsid w:val="002F49D2"/>
    <w:rsid w:val="002F5D8F"/>
    <w:rsid w:val="002F5DF7"/>
    <w:rsid w:val="003007E9"/>
    <w:rsid w:val="00300CC2"/>
    <w:rsid w:val="00300F63"/>
    <w:rsid w:val="00302A03"/>
    <w:rsid w:val="00302EF1"/>
    <w:rsid w:val="00303151"/>
    <w:rsid w:val="0030484B"/>
    <w:rsid w:val="00305AF0"/>
    <w:rsid w:val="00305E56"/>
    <w:rsid w:val="00310D9B"/>
    <w:rsid w:val="00312539"/>
    <w:rsid w:val="0031286A"/>
    <w:rsid w:val="00312A7C"/>
    <w:rsid w:val="0031423A"/>
    <w:rsid w:val="003165DD"/>
    <w:rsid w:val="003206AD"/>
    <w:rsid w:val="003215BB"/>
    <w:rsid w:val="00321AB6"/>
    <w:rsid w:val="00321C69"/>
    <w:rsid w:val="00322482"/>
    <w:rsid w:val="00324BEB"/>
    <w:rsid w:val="00325DC4"/>
    <w:rsid w:val="0032699D"/>
    <w:rsid w:val="0032777C"/>
    <w:rsid w:val="003314AD"/>
    <w:rsid w:val="00331CBE"/>
    <w:rsid w:val="00331CEB"/>
    <w:rsid w:val="00331F0C"/>
    <w:rsid w:val="00335646"/>
    <w:rsid w:val="003366C3"/>
    <w:rsid w:val="00341029"/>
    <w:rsid w:val="00341DF6"/>
    <w:rsid w:val="003467AA"/>
    <w:rsid w:val="00347DED"/>
    <w:rsid w:val="0035266A"/>
    <w:rsid w:val="003533CB"/>
    <w:rsid w:val="003566C5"/>
    <w:rsid w:val="00357198"/>
    <w:rsid w:val="00357BAD"/>
    <w:rsid w:val="00360C53"/>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1507"/>
    <w:rsid w:val="00372A41"/>
    <w:rsid w:val="00373358"/>
    <w:rsid w:val="003734A9"/>
    <w:rsid w:val="003749D0"/>
    <w:rsid w:val="00375FDD"/>
    <w:rsid w:val="00376EFE"/>
    <w:rsid w:val="003817C2"/>
    <w:rsid w:val="003821BD"/>
    <w:rsid w:val="00383404"/>
    <w:rsid w:val="00384A45"/>
    <w:rsid w:val="00385F8F"/>
    <w:rsid w:val="00391DBF"/>
    <w:rsid w:val="003925F7"/>
    <w:rsid w:val="00394101"/>
    <w:rsid w:val="003961A8"/>
    <w:rsid w:val="00397B90"/>
    <w:rsid w:val="003A0AF8"/>
    <w:rsid w:val="003A2361"/>
    <w:rsid w:val="003A2D80"/>
    <w:rsid w:val="003A3825"/>
    <w:rsid w:val="003A45DB"/>
    <w:rsid w:val="003A6687"/>
    <w:rsid w:val="003B05B2"/>
    <w:rsid w:val="003B0701"/>
    <w:rsid w:val="003B09EB"/>
    <w:rsid w:val="003B1F2D"/>
    <w:rsid w:val="003B2517"/>
    <w:rsid w:val="003B3548"/>
    <w:rsid w:val="003B480F"/>
    <w:rsid w:val="003B57E3"/>
    <w:rsid w:val="003B5862"/>
    <w:rsid w:val="003B72A9"/>
    <w:rsid w:val="003B73C7"/>
    <w:rsid w:val="003C007A"/>
    <w:rsid w:val="003C09AC"/>
    <w:rsid w:val="003C5421"/>
    <w:rsid w:val="003C5430"/>
    <w:rsid w:val="003C73B6"/>
    <w:rsid w:val="003D00F6"/>
    <w:rsid w:val="003D060D"/>
    <w:rsid w:val="003D4C25"/>
    <w:rsid w:val="003D5DF4"/>
    <w:rsid w:val="003D6A99"/>
    <w:rsid w:val="003D7227"/>
    <w:rsid w:val="003D76AD"/>
    <w:rsid w:val="003E0109"/>
    <w:rsid w:val="003E0447"/>
    <w:rsid w:val="003E21AD"/>
    <w:rsid w:val="003E2E33"/>
    <w:rsid w:val="003E7DA3"/>
    <w:rsid w:val="003F2113"/>
    <w:rsid w:val="003F35A5"/>
    <w:rsid w:val="003F3788"/>
    <w:rsid w:val="003F5A49"/>
    <w:rsid w:val="00400065"/>
    <w:rsid w:val="00410FE8"/>
    <w:rsid w:val="00411B6E"/>
    <w:rsid w:val="00414963"/>
    <w:rsid w:val="00415251"/>
    <w:rsid w:val="0041630C"/>
    <w:rsid w:val="004164C2"/>
    <w:rsid w:val="004168DC"/>
    <w:rsid w:val="00417144"/>
    <w:rsid w:val="00417BA6"/>
    <w:rsid w:val="00417C44"/>
    <w:rsid w:val="00421132"/>
    <w:rsid w:val="0042116F"/>
    <w:rsid w:val="00421DAD"/>
    <w:rsid w:val="00422693"/>
    <w:rsid w:val="00422C44"/>
    <w:rsid w:val="0042392F"/>
    <w:rsid w:val="0042569B"/>
    <w:rsid w:val="0042757A"/>
    <w:rsid w:val="00427866"/>
    <w:rsid w:val="0043223F"/>
    <w:rsid w:val="004430A5"/>
    <w:rsid w:val="0044367E"/>
    <w:rsid w:val="00444CAF"/>
    <w:rsid w:val="00446C65"/>
    <w:rsid w:val="004501AD"/>
    <w:rsid w:val="0045273A"/>
    <w:rsid w:val="00453647"/>
    <w:rsid w:val="0045369C"/>
    <w:rsid w:val="00453EAF"/>
    <w:rsid w:val="00454F13"/>
    <w:rsid w:val="00454FF9"/>
    <w:rsid w:val="00460AA2"/>
    <w:rsid w:val="00462399"/>
    <w:rsid w:val="004625C3"/>
    <w:rsid w:val="00465005"/>
    <w:rsid w:val="00465593"/>
    <w:rsid w:val="00465C8A"/>
    <w:rsid w:val="00466085"/>
    <w:rsid w:val="0046668A"/>
    <w:rsid w:val="00466DE8"/>
    <w:rsid w:val="00467D37"/>
    <w:rsid w:val="00470471"/>
    <w:rsid w:val="004745CF"/>
    <w:rsid w:val="00475AAD"/>
    <w:rsid w:val="00476772"/>
    <w:rsid w:val="00476854"/>
    <w:rsid w:val="00476A9C"/>
    <w:rsid w:val="004807D8"/>
    <w:rsid w:val="0048492A"/>
    <w:rsid w:val="00485AE7"/>
    <w:rsid w:val="00485BF2"/>
    <w:rsid w:val="00486360"/>
    <w:rsid w:val="004870E5"/>
    <w:rsid w:val="00487AC8"/>
    <w:rsid w:val="00490108"/>
    <w:rsid w:val="00492ED3"/>
    <w:rsid w:val="00492EE9"/>
    <w:rsid w:val="00494A35"/>
    <w:rsid w:val="0049518C"/>
    <w:rsid w:val="004A008B"/>
    <w:rsid w:val="004A17F8"/>
    <w:rsid w:val="004A2A14"/>
    <w:rsid w:val="004A3C65"/>
    <w:rsid w:val="004A3ED8"/>
    <w:rsid w:val="004A44E9"/>
    <w:rsid w:val="004A4D27"/>
    <w:rsid w:val="004B2C1C"/>
    <w:rsid w:val="004B3011"/>
    <w:rsid w:val="004B3E4E"/>
    <w:rsid w:val="004B5B8D"/>
    <w:rsid w:val="004B6C7B"/>
    <w:rsid w:val="004B702D"/>
    <w:rsid w:val="004B7A5D"/>
    <w:rsid w:val="004B7FFC"/>
    <w:rsid w:val="004C01E3"/>
    <w:rsid w:val="004C1824"/>
    <w:rsid w:val="004C1F8C"/>
    <w:rsid w:val="004C267E"/>
    <w:rsid w:val="004C2C97"/>
    <w:rsid w:val="004C3BFC"/>
    <w:rsid w:val="004C4655"/>
    <w:rsid w:val="004C5A96"/>
    <w:rsid w:val="004D198B"/>
    <w:rsid w:val="004D1E7C"/>
    <w:rsid w:val="004D21F9"/>
    <w:rsid w:val="004D3C88"/>
    <w:rsid w:val="004D3EFD"/>
    <w:rsid w:val="004D4540"/>
    <w:rsid w:val="004D6C39"/>
    <w:rsid w:val="004E30ED"/>
    <w:rsid w:val="004E34DF"/>
    <w:rsid w:val="004E6514"/>
    <w:rsid w:val="004F0013"/>
    <w:rsid w:val="004F037B"/>
    <w:rsid w:val="004F1964"/>
    <w:rsid w:val="004F2741"/>
    <w:rsid w:val="004F2776"/>
    <w:rsid w:val="004F4A43"/>
    <w:rsid w:val="004F57EA"/>
    <w:rsid w:val="004F5A1F"/>
    <w:rsid w:val="00500014"/>
    <w:rsid w:val="005049F9"/>
    <w:rsid w:val="0050673A"/>
    <w:rsid w:val="0050685A"/>
    <w:rsid w:val="00507910"/>
    <w:rsid w:val="005101D8"/>
    <w:rsid w:val="005115F1"/>
    <w:rsid w:val="00513405"/>
    <w:rsid w:val="00513D74"/>
    <w:rsid w:val="00515BCF"/>
    <w:rsid w:val="00516927"/>
    <w:rsid w:val="00516A33"/>
    <w:rsid w:val="00517508"/>
    <w:rsid w:val="00517F47"/>
    <w:rsid w:val="00520B5C"/>
    <w:rsid w:val="00523ECF"/>
    <w:rsid w:val="0052440E"/>
    <w:rsid w:val="00524928"/>
    <w:rsid w:val="00524AB5"/>
    <w:rsid w:val="0052553C"/>
    <w:rsid w:val="00530955"/>
    <w:rsid w:val="00530EBB"/>
    <w:rsid w:val="00531594"/>
    <w:rsid w:val="005339CE"/>
    <w:rsid w:val="0053608D"/>
    <w:rsid w:val="00536394"/>
    <w:rsid w:val="00536771"/>
    <w:rsid w:val="0054086A"/>
    <w:rsid w:val="00541820"/>
    <w:rsid w:val="00541912"/>
    <w:rsid w:val="00541962"/>
    <w:rsid w:val="00544A1E"/>
    <w:rsid w:val="005454F7"/>
    <w:rsid w:val="00546FF3"/>
    <w:rsid w:val="00552EA1"/>
    <w:rsid w:val="005535EE"/>
    <w:rsid w:val="0055372B"/>
    <w:rsid w:val="005542BC"/>
    <w:rsid w:val="0055628A"/>
    <w:rsid w:val="00556603"/>
    <w:rsid w:val="00561EBC"/>
    <w:rsid w:val="00562A80"/>
    <w:rsid w:val="005659BA"/>
    <w:rsid w:val="00565F47"/>
    <w:rsid w:val="00566051"/>
    <w:rsid w:val="005671EF"/>
    <w:rsid w:val="00571D74"/>
    <w:rsid w:val="00571DC0"/>
    <w:rsid w:val="00574D07"/>
    <w:rsid w:val="00580DD1"/>
    <w:rsid w:val="00581D61"/>
    <w:rsid w:val="00583885"/>
    <w:rsid w:val="0058457D"/>
    <w:rsid w:val="005849C6"/>
    <w:rsid w:val="00584C51"/>
    <w:rsid w:val="00585272"/>
    <w:rsid w:val="00585768"/>
    <w:rsid w:val="0059135C"/>
    <w:rsid w:val="0059165F"/>
    <w:rsid w:val="005925C4"/>
    <w:rsid w:val="00594812"/>
    <w:rsid w:val="00597492"/>
    <w:rsid w:val="005977CD"/>
    <w:rsid w:val="005A198A"/>
    <w:rsid w:val="005A1BED"/>
    <w:rsid w:val="005A2D99"/>
    <w:rsid w:val="005A556A"/>
    <w:rsid w:val="005A69ED"/>
    <w:rsid w:val="005A6A03"/>
    <w:rsid w:val="005B02B7"/>
    <w:rsid w:val="005B1387"/>
    <w:rsid w:val="005B39F5"/>
    <w:rsid w:val="005B3CF3"/>
    <w:rsid w:val="005B45D9"/>
    <w:rsid w:val="005B4677"/>
    <w:rsid w:val="005B5B05"/>
    <w:rsid w:val="005B6672"/>
    <w:rsid w:val="005C038C"/>
    <w:rsid w:val="005C09C3"/>
    <w:rsid w:val="005C1F40"/>
    <w:rsid w:val="005C26E6"/>
    <w:rsid w:val="005C297C"/>
    <w:rsid w:val="005C50DE"/>
    <w:rsid w:val="005C669E"/>
    <w:rsid w:val="005C6BAF"/>
    <w:rsid w:val="005C6E36"/>
    <w:rsid w:val="005D04B0"/>
    <w:rsid w:val="005D120E"/>
    <w:rsid w:val="005D1F9A"/>
    <w:rsid w:val="005D2420"/>
    <w:rsid w:val="005D4C43"/>
    <w:rsid w:val="005E0B51"/>
    <w:rsid w:val="005E18E3"/>
    <w:rsid w:val="005E3AA1"/>
    <w:rsid w:val="005E3DDF"/>
    <w:rsid w:val="005E4F8C"/>
    <w:rsid w:val="005E5481"/>
    <w:rsid w:val="005E5539"/>
    <w:rsid w:val="005E72A8"/>
    <w:rsid w:val="005F13C2"/>
    <w:rsid w:val="005F2755"/>
    <w:rsid w:val="005F36A1"/>
    <w:rsid w:val="005F37DF"/>
    <w:rsid w:val="005F3B95"/>
    <w:rsid w:val="005F559B"/>
    <w:rsid w:val="005F62F0"/>
    <w:rsid w:val="005F695B"/>
    <w:rsid w:val="005F7D29"/>
    <w:rsid w:val="006013DE"/>
    <w:rsid w:val="00602310"/>
    <w:rsid w:val="00603E1C"/>
    <w:rsid w:val="00604FE7"/>
    <w:rsid w:val="00606E51"/>
    <w:rsid w:val="00606EDF"/>
    <w:rsid w:val="0061010F"/>
    <w:rsid w:val="00613833"/>
    <w:rsid w:val="0061385D"/>
    <w:rsid w:val="00614576"/>
    <w:rsid w:val="00615303"/>
    <w:rsid w:val="006163F2"/>
    <w:rsid w:val="00617AA3"/>
    <w:rsid w:val="00620D63"/>
    <w:rsid w:val="006231AA"/>
    <w:rsid w:val="0062393E"/>
    <w:rsid w:val="00624117"/>
    <w:rsid w:val="00624500"/>
    <w:rsid w:val="00626118"/>
    <w:rsid w:val="00626FA9"/>
    <w:rsid w:val="00627FC7"/>
    <w:rsid w:val="00630A1C"/>
    <w:rsid w:val="0063172A"/>
    <w:rsid w:val="00634058"/>
    <w:rsid w:val="00634059"/>
    <w:rsid w:val="006340B5"/>
    <w:rsid w:val="00635984"/>
    <w:rsid w:val="00636C5D"/>
    <w:rsid w:val="00640096"/>
    <w:rsid w:val="00641597"/>
    <w:rsid w:val="00641EA7"/>
    <w:rsid w:val="00645DC0"/>
    <w:rsid w:val="00647FF7"/>
    <w:rsid w:val="00660043"/>
    <w:rsid w:val="0066090C"/>
    <w:rsid w:val="00660E6A"/>
    <w:rsid w:val="006611B0"/>
    <w:rsid w:val="006613F9"/>
    <w:rsid w:val="006615AD"/>
    <w:rsid w:val="00662273"/>
    <w:rsid w:val="006658FD"/>
    <w:rsid w:val="00667893"/>
    <w:rsid w:val="0067037C"/>
    <w:rsid w:val="006705E0"/>
    <w:rsid w:val="00670BEC"/>
    <w:rsid w:val="006724DC"/>
    <w:rsid w:val="0067485A"/>
    <w:rsid w:val="006755C2"/>
    <w:rsid w:val="006755CD"/>
    <w:rsid w:val="00680CAD"/>
    <w:rsid w:val="00681F30"/>
    <w:rsid w:val="00682237"/>
    <w:rsid w:val="00682B9C"/>
    <w:rsid w:val="0068357C"/>
    <w:rsid w:val="0068357D"/>
    <w:rsid w:val="00683EB7"/>
    <w:rsid w:val="0068713A"/>
    <w:rsid w:val="0069583C"/>
    <w:rsid w:val="00695BD5"/>
    <w:rsid w:val="006A0A50"/>
    <w:rsid w:val="006A4FB5"/>
    <w:rsid w:val="006A5038"/>
    <w:rsid w:val="006A535A"/>
    <w:rsid w:val="006A7A1E"/>
    <w:rsid w:val="006B36EE"/>
    <w:rsid w:val="006B752A"/>
    <w:rsid w:val="006B7F97"/>
    <w:rsid w:val="006C29E2"/>
    <w:rsid w:val="006C3937"/>
    <w:rsid w:val="006C57C7"/>
    <w:rsid w:val="006C5E75"/>
    <w:rsid w:val="006C6C5C"/>
    <w:rsid w:val="006C6D9E"/>
    <w:rsid w:val="006C7615"/>
    <w:rsid w:val="006D0A65"/>
    <w:rsid w:val="006D0B4B"/>
    <w:rsid w:val="006D0B9C"/>
    <w:rsid w:val="006D0CD7"/>
    <w:rsid w:val="006D125F"/>
    <w:rsid w:val="006D395F"/>
    <w:rsid w:val="006D609F"/>
    <w:rsid w:val="006E0808"/>
    <w:rsid w:val="006E0C83"/>
    <w:rsid w:val="006E0F6E"/>
    <w:rsid w:val="006E26F4"/>
    <w:rsid w:val="006E501D"/>
    <w:rsid w:val="006E561B"/>
    <w:rsid w:val="006E6138"/>
    <w:rsid w:val="006E7A6C"/>
    <w:rsid w:val="006E7E40"/>
    <w:rsid w:val="006F0048"/>
    <w:rsid w:val="006F0C30"/>
    <w:rsid w:val="006F1F29"/>
    <w:rsid w:val="006F6DFA"/>
    <w:rsid w:val="00700159"/>
    <w:rsid w:val="007031AC"/>
    <w:rsid w:val="007045A7"/>
    <w:rsid w:val="0070557E"/>
    <w:rsid w:val="007056CF"/>
    <w:rsid w:val="00707AC6"/>
    <w:rsid w:val="007101BF"/>
    <w:rsid w:val="00710E18"/>
    <w:rsid w:val="00711D73"/>
    <w:rsid w:val="007123D6"/>
    <w:rsid w:val="00712437"/>
    <w:rsid w:val="00712AB9"/>
    <w:rsid w:val="00712FBB"/>
    <w:rsid w:val="00713557"/>
    <w:rsid w:val="007163A3"/>
    <w:rsid w:val="007202B8"/>
    <w:rsid w:val="007204CB"/>
    <w:rsid w:val="00722307"/>
    <w:rsid w:val="007254C3"/>
    <w:rsid w:val="00725DCC"/>
    <w:rsid w:val="007264E7"/>
    <w:rsid w:val="00726549"/>
    <w:rsid w:val="00731470"/>
    <w:rsid w:val="00731E75"/>
    <w:rsid w:val="0073473A"/>
    <w:rsid w:val="00734C96"/>
    <w:rsid w:val="00734FEE"/>
    <w:rsid w:val="00740C34"/>
    <w:rsid w:val="007421A3"/>
    <w:rsid w:val="007458E4"/>
    <w:rsid w:val="00747A74"/>
    <w:rsid w:val="0075020F"/>
    <w:rsid w:val="007516CF"/>
    <w:rsid w:val="00752B5B"/>
    <w:rsid w:val="00753B18"/>
    <w:rsid w:val="00757CEF"/>
    <w:rsid w:val="00761B09"/>
    <w:rsid w:val="00762130"/>
    <w:rsid w:val="0076307E"/>
    <w:rsid w:val="00764B73"/>
    <w:rsid w:val="00772F41"/>
    <w:rsid w:val="0077521B"/>
    <w:rsid w:val="007753DE"/>
    <w:rsid w:val="00776554"/>
    <w:rsid w:val="007811AB"/>
    <w:rsid w:val="00785BC2"/>
    <w:rsid w:val="00785E4F"/>
    <w:rsid w:val="0078680E"/>
    <w:rsid w:val="00787395"/>
    <w:rsid w:val="00791AC6"/>
    <w:rsid w:val="00792109"/>
    <w:rsid w:val="007928C7"/>
    <w:rsid w:val="007928D4"/>
    <w:rsid w:val="00793E36"/>
    <w:rsid w:val="00793EE0"/>
    <w:rsid w:val="007948D9"/>
    <w:rsid w:val="00794D26"/>
    <w:rsid w:val="007953F4"/>
    <w:rsid w:val="0079588C"/>
    <w:rsid w:val="007975CB"/>
    <w:rsid w:val="007A0AF9"/>
    <w:rsid w:val="007A0D03"/>
    <w:rsid w:val="007A1673"/>
    <w:rsid w:val="007A33CF"/>
    <w:rsid w:val="007A458B"/>
    <w:rsid w:val="007A47AB"/>
    <w:rsid w:val="007A47D0"/>
    <w:rsid w:val="007B00AD"/>
    <w:rsid w:val="007B0760"/>
    <w:rsid w:val="007B5656"/>
    <w:rsid w:val="007B58FB"/>
    <w:rsid w:val="007B6A98"/>
    <w:rsid w:val="007B7A06"/>
    <w:rsid w:val="007B7EE3"/>
    <w:rsid w:val="007C035E"/>
    <w:rsid w:val="007C0EC0"/>
    <w:rsid w:val="007C1EB3"/>
    <w:rsid w:val="007C6BBE"/>
    <w:rsid w:val="007C75FA"/>
    <w:rsid w:val="007D0F9A"/>
    <w:rsid w:val="007D4329"/>
    <w:rsid w:val="007D4552"/>
    <w:rsid w:val="007D49B8"/>
    <w:rsid w:val="007D57B6"/>
    <w:rsid w:val="007D6457"/>
    <w:rsid w:val="007D759B"/>
    <w:rsid w:val="007D7DF2"/>
    <w:rsid w:val="007E1CC4"/>
    <w:rsid w:val="007E2D1B"/>
    <w:rsid w:val="007E377A"/>
    <w:rsid w:val="007E422B"/>
    <w:rsid w:val="007E6064"/>
    <w:rsid w:val="007E6F85"/>
    <w:rsid w:val="007F0A36"/>
    <w:rsid w:val="007F5B57"/>
    <w:rsid w:val="007F707C"/>
    <w:rsid w:val="0080097C"/>
    <w:rsid w:val="008026F5"/>
    <w:rsid w:val="008027C3"/>
    <w:rsid w:val="00803317"/>
    <w:rsid w:val="008050C5"/>
    <w:rsid w:val="008134A8"/>
    <w:rsid w:val="00816305"/>
    <w:rsid w:val="0081690D"/>
    <w:rsid w:val="008227C0"/>
    <w:rsid w:val="00822F18"/>
    <w:rsid w:val="008237AE"/>
    <w:rsid w:val="008245C9"/>
    <w:rsid w:val="00830A3D"/>
    <w:rsid w:val="00831D70"/>
    <w:rsid w:val="00831DA8"/>
    <w:rsid w:val="00832AE1"/>
    <w:rsid w:val="008338E9"/>
    <w:rsid w:val="0083456A"/>
    <w:rsid w:val="00836C91"/>
    <w:rsid w:val="00837E5D"/>
    <w:rsid w:val="008400A9"/>
    <w:rsid w:val="0084024D"/>
    <w:rsid w:val="00841378"/>
    <w:rsid w:val="00844881"/>
    <w:rsid w:val="008463B9"/>
    <w:rsid w:val="00851111"/>
    <w:rsid w:val="0085139E"/>
    <w:rsid w:val="00851BAA"/>
    <w:rsid w:val="0085372D"/>
    <w:rsid w:val="00853E73"/>
    <w:rsid w:val="00854839"/>
    <w:rsid w:val="00855CDD"/>
    <w:rsid w:val="00857895"/>
    <w:rsid w:val="00860209"/>
    <w:rsid w:val="00861447"/>
    <w:rsid w:val="00862F1A"/>
    <w:rsid w:val="008661D3"/>
    <w:rsid w:val="00866DC9"/>
    <w:rsid w:val="00867868"/>
    <w:rsid w:val="00867964"/>
    <w:rsid w:val="00867F26"/>
    <w:rsid w:val="00870B1C"/>
    <w:rsid w:val="00871FDA"/>
    <w:rsid w:val="00874867"/>
    <w:rsid w:val="00875E76"/>
    <w:rsid w:val="008760F4"/>
    <w:rsid w:val="0087680F"/>
    <w:rsid w:val="00876C9B"/>
    <w:rsid w:val="00880E46"/>
    <w:rsid w:val="00884EE0"/>
    <w:rsid w:val="00885021"/>
    <w:rsid w:val="008857F3"/>
    <w:rsid w:val="00887104"/>
    <w:rsid w:val="0089097C"/>
    <w:rsid w:val="008913F6"/>
    <w:rsid w:val="00892C3E"/>
    <w:rsid w:val="00893234"/>
    <w:rsid w:val="008978BC"/>
    <w:rsid w:val="00897B8F"/>
    <w:rsid w:val="008A00DE"/>
    <w:rsid w:val="008A1135"/>
    <w:rsid w:val="008A5579"/>
    <w:rsid w:val="008A7105"/>
    <w:rsid w:val="008B23ED"/>
    <w:rsid w:val="008B2687"/>
    <w:rsid w:val="008B3CF6"/>
    <w:rsid w:val="008B4417"/>
    <w:rsid w:val="008B5CC3"/>
    <w:rsid w:val="008B6E3E"/>
    <w:rsid w:val="008C0511"/>
    <w:rsid w:val="008C22C3"/>
    <w:rsid w:val="008C2872"/>
    <w:rsid w:val="008C4E93"/>
    <w:rsid w:val="008C5174"/>
    <w:rsid w:val="008C5236"/>
    <w:rsid w:val="008C5331"/>
    <w:rsid w:val="008C59E6"/>
    <w:rsid w:val="008C7EF1"/>
    <w:rsid w:val="008D1C6E"/>
    <w:rsid w:val="008D39A6"/>
    <w:rsid w:val="008D589B"/>
    <w:rsid w:val="008D5F36"/>
    <w:rsid w:val="008D6F39"/>
    <w:rsid w:val="008D74D8"/>
    <w:rsid w:val="008E0F97"/>
    <w:rsid w:val="008E104A"/>
    <w:rsid w:val="008E45DD"/>
    <w:rsid w:val="008E5BEA"/>
    <w:rsid w:val="008E61CF"/>
    <w:rsid w:val="008E62F3"/>
    <w:rsid w:val="008E66A7"/>
    <w:rsid w:val="008E7E3B"/>
    <w:rsid w:val="008F0027"/>
    <w:rsid w:val="008F13F4"/>
    <w:rsid w:val="008F2248"/>
    <w:rsid w:val="008F429A"/>
    <w:rsid w:val="008F4809"/>
    <w:rsid w:val="008F4885"/>
    <w:rsid w:val="008F60B8"/>
    <w:rsid w:val="008F69B0"/>
    <w:rsid w:val="008F6DFC"/>
    <w:rsid w:val="00900FA9"/>
    <w:rsid w:val="00901B1B"/>
    <w:rsid w:val="00901C9D"/>
    <w:rsid w:val="0090254E"/>
    <w:rsid w:val="0090397D"/>
    <w:rsid w:val="00903B8A"/>
    <w:rsid w:val="0090531F"/>
    <w:rsid w:val="00905EA8"/>
    <w:rsid w:val="00907F35"/>
    <w:rsid w:val="00912939"/>
    <w:rsid w:val="0091449C"/>
    <w:rsid w:val="00915478"/>
    <w:rsid w:val="00915C0A"/>
    <w:rsid w:val="00916394"/>
    <w:rsid w:val="00916C61"/>
    <w:rsid w:val="00920BE6"/>
    <w:rsid w:val="00920D54"/>
    <w:rsid w:val="00922E91"/>
    <w:rsid w:val="009253A2"/>
    <w:rsid w:val="009260F9"/>
    <w:rsid w:val="00926811"/>
    <w:rsid w:val="00927035"/>
    <w:rsid w:val="009328BD"/>
    <w:rsid w:val="0093469C"/>
    <w:rsid w:val="0093555E"/>
    <w:rsid w:val="00940D53"/>
    <w:rsid w:val="00941801"/>
    <w:rsid w:val="00942081"/>
    <w:rsid w:val="0094352B"/>
    <w:rsid w:val="009447BD"/>
    <w:rsid w:val="0095085C"/>
    <w:rsid w:val="00950D6C"/>
    <w:rsid w:val="00951423"/>
    <w:rsid w:val="00952B8F"/>
    <w:rsid w:val="00955935"/>
    <w:rsid w:val="00956877"/>
    <w:rsid w:val="009574EE"/>
    <w:rsid w:val="00964F16"/>
    <w:rsid w:val="0096690F"/>
    <w:rsid w:val="0096729D"/>
    <w:rsid w:val="00967A7A"/>
    <w:rsid w:val="00970692"/>
    <w:rsid w:val="00971686"/>
    <w:rsid w:val="009716C7"/>
    <w:rsid w:val="00973719"/>
    <w:rsid w:val="00973845"/>
    <w:rsid w:val="009743E5"/>
    <w:rsid w:val="0097647D"/>
    <w:rsid w:val="00976C61"/>
    <w:rsid w:val="00983A52"/>
    <w:rsid w:val="00984589"/>
    <w:rsid w:val="00984B13"/>
    <w:rsid w:val="00986AE7"/>
    <w:rsid w:val="00987773"/>
    <w:rsid w:val="00987A32"/>
    <w:rsid w:val="00987DB5"/>
    <w:rsid w:val="0099027C"/>
    <w:rsid w:val="00991EFF"/>
    <w:rsid w:val="00993600"/>
    <w:rsid w:val="0099428B"/>
    <w:rsid w:val="00995DAC"/>
    <w:rsid w:val="00997D11"/>
    <w:rsid w:val="009A029C"/>
    <w:rsid w:val="009A0526"/>
    <w:rsid w:val="009A0A96"/>
    <w:rsid w:val="009A271D"/>
    <w:rsid w:val="009A44F9"/>
    <w:rsid w:val="009A70D5"/>
    <w:rsid w:val="009B2507"/>
    <w:rsid w:val="009B2E8E"/>
    <w:rsid w:val="009B3004"/>
    <w:rsid w:val="009B348C"/>
    <w:rsid w:val="009B482A"/>
    <w:rsid w:val="009B7712"/>
    <w:rsid w:val="009B7B83"/>
    <w:rsid w:val="009C0636"/>
    <w:rsid w:val="009C08BA"/>
    <w:rsid w:val="009C6F0A"/>
    <w:rsid w:val="009C6F32"/>
    <w:rsid w:val="009C797B"/>
    <w:rsid w:val="009D02E8"/>
    <w:rsid w:val="009D0C05"/>
    <w:rsid w:val="009D2B82"/>
    <w:rsid w:val="009D4274"/>
    <w:rsid w:val="009D461F"/>
    <w:rsid w:val="009D51B5"/>
    <w:rsid w:val="009D5C53"/>
    <w:rsid w:val="009D5D74"/>
    <w:rsid w:val="009D622C"/>
    <w:rsid w:val="009D661E"/>
    <w:rsid w:val="009E0A55"/>
    <w:rsid w:val="009E1268"/>
    <w:rsid w:val="009E2B19"/>
    <w:rsid w:val="009E5AB3"/>
    <w:rsid w:val="009E61F7"/>
    <w:rsid w:val="009E7BE7"/>
    <w:rsid w:val="009E7EB2"/>
    <w:rsid w:val="009F145D"/>
    <w:rsid w:val="009F17D1"/>
    <w:rsid w:val="009F7CAB"/>
    <w:rsid w:val="00A011F7"/>
    <w:rsid w:val="00A02048"/>
    <w:rsid w:val="00A02E6E"/>
    <w:rsid w:val="00A03F22"/>
    <w:rsid w:val="00A05B2B"/>
    <w:rsid w:val="00A064C9"/>
    <w:rsid w:val="00A0662C"/>
    <w:rsid w:val="00A12624"/>
    <w:rsid w:val="00A1407B"/>
    <w:rsid w:val="00A14B13"/>
    <w:rsid w:val="00A14B40"/>
    <w:rsid w:val="00A15BF3"/>
    <w:rsid w:val="00A15C5A"/>
    <w:rsid w:val="00A16B62"/>
    <w:rsid w:val="00A17FEB"/>
    <w:rsid w:val="00A20772"/>
    <w:rsid w:val="00A214A8"/>
    <w:rsid w:val="00A214C8"/>
    <w:rsid w:val="00A21567"/>
    <w:rsid w:val="00A215C7"/>
    <w:rsid w:val="00A22C2D"/>
    <w:rsid w:val="00A24B13"/>
    <w:rsid w:val="00A25794"/>
    <w:rsid w:val="00A30451"/>
    <w:rsid w:val="00A3148A"/>
    <w:rsid w:val="00A324AB"/>
    <w:rsid w:val="00A33C11"/>
    <w:rsid w:val="00A34E09"/>
    <w:rsid w:val="00A35B35"/>
    <w:rsid w:val="00A4172A"/>
    <w:rsid w:val="00A41A02"/>
    <w:rsid w:val="00A44A6C"/>
    <w:rsid w:val="00A45819"/>
    <w:rsid w:val="00A4687A"/>
    <w:rsid w:val="00A47350"/>
    <w:rsid w:val="00A47C08"/>
    <w:rsid w:val="00A517BC"/>
    <w:rsid w:val="00A52F47"/>
    <w:rsid w:val="00A54695"/>
    <w:rsid w:val="00A54D83"/>
    <w:rsid w:val="00A57CDF"/>
    <w:rsid w:val="00A61F5C"/>
    <w:rsid w:val="00A63384"/>
    <w:rsid w:val="00A6416E"/>
    <w:rsid w:val="00A71754"/>
    <w:rsid w:val="00A717E7"/>
    <w:rsid w:val="00A71EDB"/>
    <w:rsid w:val="00A73971"/>
    <w:rsid w:val="00A74152"/>
    <w:rsid w:val="00A757D1"/>
    <w:rsid w:val="00A76A28"/>
    <w:rsid w:val="00A8284E"/>
    <w:rsid w:val="00A83243"/>
    <w:rsid w:val="00A8359D"/>
    <w:rsid w:val="00A83CC9"/>
    <w:rsid w:val="00A851C0"/>
    <w:rsid w:val="00A8789C"/>
    <w:rsid w:val="00A90111"/>
    <w:rsid w:val="00A91528"/>
    <w:rsid w:val="00A95196"/>
    <w:rsid w:val="00A9738A"/>
    <w:rsid w:val="00AA1EFF"/>
    <w:rsid w:val="00AA27DD"/>
    <w:rsid w:val="00AA314D"/>
    <w:rsid w:val="00AA5115"/>
    <w:rsid w:val="00AA575B"/>
    <w:rsid w:val="00AB0815"/>
    <w:rsid w:val="00AB14C7"/>
    <w:rsid w:val="00AB2264"/>
    <w:rsid w:val="00AB2E63"/>
    <w:rsid w:val="00AB4E47"/>
    <w:rsid w:val="00AB67F7"/>
    <w:rsid w:val="00AC054F"/>
    <w:rsid w:val="00AC0715"/>
    <w:rsid w:val="00AC146C"/>
    <w:rsid w:val="00AC1F76"/>
    <w:rsid w:val="00AC2615"/>
    <w:rsid w:val="00AC5AB5"/>
    <w:rsid w:val="00AC64D8"/>
    <w:rsid w:val="00AC6F2F"/>
    <w:rsid w:val="00AD12D2"/>
    <w:rsid w:val="00AD1729"/>
    <w:rsid w:val="00AD2774"/>
    <w:rsid w:val="00AD3941"/>
    <w:rsid w:val="00AD5261"/>
    <w:rsid w:val="00AE0009"/>
    <w:rsid w:val="00AE357A"/>
    <w:rsid w:val="00AE38B2"/>
    <w:rsid w:val="00AE49D2"/>
    <w:rsid w:val="00AE5626"/>
    <w:rsid w:val="00AE5A4E"/>
    <w:rsid w:val="00AE76F9"/>
    <w:rsid w:val="00AF3694"/>
    <w:rsid w:val="00AF4B9E"/>
    <w:rsid w:val="00AF6636"/>
    <w:rsid w:val="00B01459"/>
    <w:rsid w:val="00B03EC0"/>
    <w:rsid w:val="00B11692"/>
    <w:rsid w:val="00B14116"/>
    <w:rsid w:val="00B1486E"/>
    <w:rsid w:val="00B15BDD"/>
    <w:rsid w:val="00B20443"/>
    <w:rsid w:val="00B2550B"/>
    <w:rsid w:val="00B259CE"/>
    <w:rsid w:val="00B25B50"/>
    <w:rsid w:val="00B30680"/>
    <w:rsid w:val="00B31DD7"/>
    <w:rsid w:val="00B32CAF"/>
    <w:rsid w:val="00B33432"/>
    <w:rsid w:val="00B336D5"/>
    <w:rsid w:val="00B35F18"/>
    <w:rsid w:val="00B3657C"/>
    <w:rsid w:val="00B42372"/>
    <w:rsid w:val="00B423A4"/>
    <w:rsid w:val="00B437D6"/>
    <w:rsid w:val="00B43AB0"/>
    <w:rsid w:val="00B4446B"/>
    <w:rsid w:val="00B47C68"/>
    <w:rsid w:val="00B50C5D"/>
    <w:rsid w:val="00B523FB"/>
    <w:rsid w:val="00B52E8F"/>
    <w:rsid w:val="00B5413F"/>
    <w:rsid w:val="00B5525E"/>
    <w:rsid w:val="00B576FF"/>
    <w:rsid w:val="00B57738"/>
    <w:rsid w:val="00B61748"/>
    <w:rsid w:val="00B63137"/>
    <w:rsid w:val="00B63604"/>
    <w:rsid w:val="00B63FA9"/>
    <w:rsid w:val="00B64379"/>
    <w:rsid w:val="00B650CC"/>
    <w:rsid w:val="00B707BD"/>
    <w:rsid w:val="00B710FD"/>
    <w:rsid w:val="00B71457"/>
    <w:rsid w:val="00B72997"/>
    <w:rsid w:val="00B750BF"/>
    <w:rsid w:val="00B75217"/>
    <w:rsid w:val="00B75C0C"/>
    <w:rsid w:val="00B776B5"/>
    <w:rsid w:val="00B81AFD"/>
    <w:rsid w:val="00B85442"/>
    <w:rsid w:val="00B90851"/>
    <w:rsid w:val="00B91090"/>
    <w:rsid w:val="00B92190"/>
    <w:rsid w:val="00B926B7"/>
    <w:rsid w:val="00B94A3A"/>
    <w:rsid w:val="00B95094"/>
    <w:rsid w:val="00BA0EC1"/>
    <w:rsid w:val="00BA5FF1"/>
    <w:rsid w:val="00BA7533"/>
    <w:rsid w:val="00BB281A"/>
    <w:rsid w:val="00BB6CCA"/>
    <w:rsid w:val="00BB6F6E"/>
    <w:rsid w:val="00BC04BD"/>
    <w:rsid w:val="00BC4096"/>
    <w:rsid w:val="00BC65BA"/>
    <w:rsid w:val="00BD4F37"/>
    <w:rsid w:val="00BD55FE"/>
    <w:rsid w:val="00BD75D2"/>
    <w:rsid w:val="00BE0383"/>
    <w:rsid w:val="00BE07A0"/>
    <w:rsid w:val="00BE0A03"/>
    <w:rsid w:val="00BE1C3A"/>
    <w:rsid w:val="00BE611C"/>
    <w:rsid w:val="00BE70FF"/>
    <w:rsid w:val="00BF1079"/>
    <w:rsid w:val="00BF1D2D"/>
    <w:rsid w:val="00BF2768"/>
    <w:rsid w:val="00BF5859"/>
    <w:rsid w:val="00BF6DFF"/>
    <w:rsid w:val="00C00048"/>
    <w:rsid w:val="00C00239"/>
    <w:rsid w:val="00C00828"/>
    <w:rsid w:val="00C03139"/>
    <w:rsid w:val="00C05982"/>
    <w:rsid w:val="00C068F5"/>
    <w:rsid w:val="00C11842"/>
    <w:rsid w:val="00C12994"/>
    <w:rsid w:val="00C1363B"/>
    <w:rsid w:val="00C13EF9"/>
    <w:rsid w:val="00C14AEE"/>
    <w:rsid w:val="00C14D24"/>
    <w:rsid w:val="00C1538F"/>
    <w:rsid w:val="00C15926"/>
    <w:rsid w:val="00C16139"/>
    <w:rsid w:val="00C16B14"/>
    <w:rsid w:val="00C17609"/>
    <w:rsid w:val="00C177ED"/>
    <w:rsid w:val="00C212B6"/>
    <w:rsid w:val="00C2204E"/>
    <w:rsid w:val="00C2265C"/>
    <w:rsid w:val="00C2273F"/>
    <w:rsid w:val="00C23420"/>
    <w:rsid w:val="00C30985"/>
    <w:rsid w:val="00C33BB9"/>
    <w:rsid w:val="00C3464B"/>
    <w:rsid w:val="00C35140"/>
    <w:rsid w:val="00C35A34"/>
    <w:rsid w:val="00C36B0D"/>
    <w:rsid w:val="00C3715A"/>
    <w:rsid w:val="00C421FF"/>
    <w:rsid w:val="00C425BE"/>
    <w:rsid w:val="00C428F9"/>
    <w:rsid w:val="00C44387"/>
    <w:rsid w:val="00C44AD0"/>
    <w:rsid w:val="00C44F2B"/>
    <w:rsid w:val="00C545D3"/>
    <w:rsid w:val="00C54A8C"/>
    <w:rsid w:val="00C56388"/>
    <w:rsid w:val="00C5675C"/>
    <w:rsid w:val="00C571C0"/>
    <w:rsid w:val="00C61233"/>
    <w:rsid w:val="00C61911"/>
    <w:rsid w:val="00C627D8"/>
    <w:rsid w:val="00C62EB5"/>
    <w:rsid w:val="00C65EB9"/>
    <w:rsid w:val="00C718D9"/>
    <w:rsid w:val="00C72726"/>
    <w:rsid w:val="00C72850"/>
    <w:rsid w:val="00C73632"/>
    <w:rsid w:val="00C745AC"/>
    <w:rsid w:val="00C75175"/>
    <w:rsid w:val="00C7543D"/>
    <w:rsid w:val="00C759F9"/>
    <w:rsid w:val="00C75EE7"/>
    <w:rsid w:val="00C762F5"/>
    <w:rsid w:val="00C766E1"/>
    <w:rsid w:val="00C777E7"/>
    <w:rsid w:val="00C81E92"/>
    <w:rsid w:val="00C82FEC"/>
    <w:rsid w:val="00C837C1"/>
    <w:rsid w:val="00C91398"/>
    <w:rsid w:val="00C92269"/>
    <w:rsid w:val="00C92ED2"/>
    <w:rsid w:val="00C93239"/>
    <w:rsid w:val="00C94BF8"/>
    <w:rsid w:val="00C94F86"/>
    <w:rsid w:val="00C95B4D"/>
    <w:rsid w:val="00CA180E"/>
    <w:rsid w:val="00CA23F1"/>
    <w:rsid w:val="00CA3D05"/>
    <w:rsid w:val="00CA4DB3"/>
    <w:rsid w:val="00CA574E"/>
    <w:rsid w:val="00CA69FF"/>
    <w:rsid w:val="00CA780E"/>
    <w:rsid w:val="00CA7FEE"/>
    <w:rsid w:val="00CB0B37"/>
    <w:rsid w:val="00CB0CBA"/>
    <w:rsid w:val="00CB11FA"/>
    <w:rsid w:val="00CB26DC"/>
    <w:rsid w:val="00CC0138"/>
    <w:rsid w:val="00CC1F38"/>
    <w:rsid w:val="00CC4D3B"/>
    <w:rsid w:val="00CC6328"/>
    <w:rsid w:val="00CC69B1"/>
    <w:rsid w:val="00CC722D"/>
    <w:rsid w:val="00CC7D94"/>
    <w:rsid w:val="00CD17D9"/>
    <w:rsid w:val="00CD218F"/>
    <w:rsid w:val="00CD2E16"/>
    <w:rsid w:val="00CD417B"/>
    <w:rsid w:val="00CD4EA9"/>
    <w:rsid w:val="00CD56C4"/>
    <w:rsid w:val="00CD6CA5"/>
    <w:rsid w:val="00CE0A40"/>
    <w:rsid w:val="00CE0C33"/>
    <w:rsid w:val="00CE2480"/>
    <w:rsid w:val="00CE2A58"/>
    <w:rsid w:val="00CE3580"/>
    <w:rsid w:val="00CE3871"/>
    <w:rsid w:val="00CE39D5"/>
    <w:rsid w:val="00CE5C29"/>
    <w:rsid w:val="00CE6313"/>
    <w:rsid w:val="00CE68CC"/>
    <w:rsid w:val="00CE7671"/>
    <w:rsid w:val="00CF1043"/>
    <w:rsid w:val="00CF1336"/>
    <w:rsid w:val="00CF2265"/>
    <w:rsid w:val="00CF32D4"/>
    <w:rsid w:val="00CF38DA"/>
    <w:rsid w:val="00CF68C2"/>
    <w:rsid w:val="00CF6B12"/>
    <w:rsid w:val="00CF6CA8"/>
    <w:rsid w:val="00CF797E"/>
    <w:rsid w:val="00D01079"/>
    <w:rsid w:val="00D018E6"/>
    <w:rsid w:val="00D02059"/>
    <w:rsid w:val="00D02D89"/>
    <w:rsid w:val="00D03B55"/>
    <w:rsid w:val="00D03C07"/>
    <w:rsid w:val="00D04D65"/>
    <w:rsid w:val="00D063F2"/>
    <w:rsid w:val="00D06DB2"/>
    <w:rsid w:val="00D07B3B"/>
    <w:rsid w:val="00D10FDF"/>
    <w:rsid w:val="00D1111C"/>
    <w:rsid w:val="00D15CC8"/>
    <w:rsid w:val="00D2001A"/>
    <w:rsid w:val="00D20615"/>
    <w:rsid w:val="00D20796"/>
    <w:rsid w:val="00D2538D"/>
    <w:rsid w:val="00D268C9"/>
    <w:rsid w:val="00D300A3"/>
    <w:rsid w:val="00D301ED"/>
    <w:rsid w:val="00D313B0"/>
    <w:rsid w:val="00D319D4"/>
    <w:rsid w:val="00D32569"/>
    <w:rsid w:val="00D33B92"/>
    <w:rsid w:val="00D35391"/>
    <w:rsid w:val="00D35679"/>
    <w:rsid w:val="00D36569"/>
    <w:rsid w:val="00D36FBF"/>
    <w:rsid w:val="00D40062"/>
    <w:rsid w:val="00D405E7"/>
    <w:rsid w:val="00D4133A"/>
    <w:rsid w:val="00D436F6"/>
    <w:rsid w:val="00D440FF"/>
    <w:rsid w:val="00D44DD1"/>
    <w:rsid w:val="00D5020B"/>
    <w:rsid w:val="00D50841"/>
    <w:rsid w:val="00D50BC2"/>
    <w:rsid w:val="00D515C2"/>
    <w:rsid w:val="00D53B9C"/>
    <w:rsid w:val="00D5622E"/>
    <w:rsid w:val="00D570CE"/>
    <w:rsid w:val="00D62CC9"/>
    <w:rsid w:val="00D66F14"/>
    <w:rsid w:val="00D679C1"/>
    <w:rsid w:val="00D67A9D"/>
    <w:rsid w:val="00D67C6B"/>
    <w:rsid w:val="00D72E7C"/>
    <w:rsid w:val="00D7638B"/>
    <w:rsid w:val="00D769AD"/>
    <w:rsid w:val="00D76DCC"/>
    <w:rsid w:val="00D77D9E"/>
    <w:rsid w:val="00D81C8D"/>
    <w:rsid w:val="00D81D6D"/>
    <w:rsid w:val="00D8340F"/>
    <w:rsid w:val="00D84638"/>
    <w:rsid w:val="00D85D70"/>
    <w:rsid w:val="00D85F1F"/>
    <w:rsid w:val="00D86400"/>
    <w:rsid w:val="00D867D6"/>
    <w:rsid w:val="00D868DE"/>
    <w:rsid w:val="00D90503"/>
    <w:rsid w:val="00D94A33"/>
    <w:rsid w:val="00D97FE0"/>
    <w:rsid w:val="00DA1C78"/>
    <w:rsid w:val="00DA2F03"/>
    <w:rsid w:val="00DA6875"/>
    <w:rsid w:val="00DB0107"/>
    <w:rsid w:val="00DB0723"/>
    <w:rsid w:val="00DB18E3"/>
    <w:rsid w:val="00DB297D"/>
    <w:rsid w:val="00DB2DC7"/>
    <w:rsid w:val="00DB4314"/>
    <w:rsid w:val="00DB6163"/>
    <w:rsid w:val="00DB66A1"/>
    <w:rsid w:val="00DB75D0"/>
    <w:rsid w:val="00DB7C7C"/>
    <w:rsid w:val="00DB7D3B"/>
    <w:rsid w:val="00DC04D3"/>
    <w:rsid w:val="00DC0A19"/>
    <w:rsid w:val="00DC0C8E"/>
    <w:rsid w:val="00DC1BE6"/>
    <w:rsid w:val="00DC7575"/>
    <w:rsid w:val="00DC758E"/>
    <w:rsid w:val="00DD1317"/>
    <w:rsid w:val="00DD2F1D"/>
    <w:rsid w:val="00DD4D3B"/>
    <w:rsid w:val="00DD60CF"/>
    <w:rsid w:val="00DE02C0"/>
    <w:rsid w:val="00DE0C01"/>
    <w:rsid w:val="00DE10B2"/>
    <w:rsid w:val="00DE223B"/>
    <w:rsid w:val="00DE246F"/>
    <w:rsid w:val="00DE3797"/>
    <w:rsid w:val="00DE5AB2"/>
    <w:rsid w:val="00DE671D"/>
    <w:rsid w:val="00DE6EFC"/>
    <w:rsid w:val="00DF076A"/>
    <w:rsid w:val="00DF4497"/>
    <w:rsid w:val="00DF4D3B"/>
    <w:rsid w:val="00DF4E4D"/>
    <w:rsid w:val="00DF715B"/>
    <w:rsid w:val="00E00C09"/>
    <w:rsid w:val="00E01840"/>
    <w:rsid w:val="00E03760"/>
    <w:rsid w:val="00E03EFD"/>
    <w:rsid w:val="00E0782E"/>
    <w:rsid w:val="00E07EFA"/>
    <w:rsid w:val="00E10000"/>
    <w:rsid w:val="00E10D0C"/>
    <w:rsid w:val="00E10E49"/>
    <w:rsid w:val="00E16966"/>
    <w:rsid w:val="00E16B58"/>
    <w:rsid w:val="00E173A4"/>
    <w:rsid w:val="00E1777D"/>
    <w:rsid w:val="00E20B76"/>
    <w:rsid w:val="00E21B6D"/>
    <w:rsid w:val="00E22996"/>
    <w:rsid w:val="00E3163D"/>
    <w:rsid w:val="00E319E4"/>
    <w:rsid w:val="00E34FE8"/>
    <w:rsid w:val="00E368CB"/>
    <w:rsid w:val="00E377D4"/>
    <w:rsid w:val="00E406E1"/>
    <w:rsid w:val="00E4111A"/>
    <w:rsid w:val="00E41325"/>
    <w:rsid w:val="00E418B7"/>
    <w:rsid w:val="00E419D1"/>
    <w:rsid w:val="00E41A8F"/>
    <w:rsid w:val="00E41A9E"/>
    <w:rsid w:val="00E425CE"/>
    <w:rsid w:val="00E47A9E"/>
    <w:rsid w:val="00E510E0"/>
    <w:rsid w:val="00E52810"/>
    <w:rsid w:val="00E5545B"/>
    <w:rsid w:val="00E56037"/>
    <w:rsid w:val="00E57D01"/>
    <w:rsid w:val="00E6073F"/>
    <w:rsid w:val="00E61882"/>
    <w:rsid w:val="00E61E2A"/>
    <w:rsid w:val="00E62870"/>
    <w:rsid w:val="00E63015"/>
    <w:rsid w:val="00E70E68"/>
    <w:rsid w:val="00E7106D"/>
    <w:rsid w:val="00E718C8"/>
    <w:rsid w:val="00E724EA"/>
    <w:rsid w:val="00E7401E"/>
    <w:rsid w:val="00E762FB"/>
    <w:rsid w:val="00E77C95"/>
    <w:rsid w:val="00E80422"/>
    <w:rsid w:val="00E81DDF"/>
    <w:rsid w:val="00E82791"/>
    <w:rsid w:val="00E8332D"/>
    <w:rsid w:val="00E8521E"/>
    <w:rsid w:val="00E85DFB"/>
    <w:rsid w:val="00E85F74"/>
    <w:rsid w:val="00E865C1"/>
    <w:rsid w:val="00E86B9C"/>
    <w:rsid w:val="00E87CCD"/>
    <w:rsid w:val="00E92BD8"/>
    <w:rsid w:val="00E92C08"/>
    <w:rsid w:val="00E94054"/>
    <w:rsid w:val="00E94B32"/>
    <w:rsid w:val="00E94F48"/>
    <w:rsid w:val="00E95307"/>
    <w:rsid w:val="00E95A5B"/>
    <w:rsid w:val="00EA02B6"/>
    <w:rsid w:val="00EA1009"/>
    <w:rsid w:val="00EA39E3"/>
    <w:rsid w:val="00EA50FC"/>
    <w:rsid w:val="00EA6123"/>
    <w:rsid w:val="00EA7C29"/>
    <w:rsid w:val="00EB170B"/>
    <w:rsid w:val="00EB290D"/>
    <w:rsid w:val="00EB632A"/>
    <w:rsid w:val="00EC1E66"/>
    <w:rsid w:val="00EC3181"/>
    <w:rsid w:val="00EC36BC"/>
    <w:rsid w:val="00ED2203"/>
    <w:rsid w:val="00ED2569"/>
    <w:rsid w:val="00ED25B1"/>
    <w:rsid w:val="00ED7FAF"/>
    <w:rsid w:val="00EE0104"/>
    <w:rsid w:val="00EE07DA"/>
    <w:rsid w:val="00EE2AD2"/>
    <w:rsid w:val="00EE3223"/>
    <w:rsid w:val="00EE324B"/>
    <w:rsid w:val="00EE56CB"/>
    <w:rsid w:val="00EE5711"/>
    <w:rsid w:val="00EE5D35"/>
    <w:rsid w:val="00EE6C48"/>
    <w:rsid w:val="00EE7FDD"/>
    <w:rsid w:val="00EF0079"/>
    <w:rsid w:val="00EF18B7"/>
    <w:rsid w:val="00EF3E79"/>
    <w:rsid w:val="00EF4E25"/>
    <w:rsid w:val="00EF771A"/>
    <w:rsid w:val="00F009EB"/>
    <w:rsid w:val="00F03DD9"/>
    <w:rsid w:val="00F04E9A"/>
    <w:rsid w:val="00F06A8A"/>
    <w:rsid w:val="00F0761C"/>
    <w:rsid w:val="00F1054C"/>
    <w:rsid w:val="00F11975"/>
    <w:rsid w:val="00F11B04"/>
    <w:rsid w:val="00F11C6C"/>
    <w:rsid w:val="00F1246B"/>
    <w:rsid w:val="00F12C01"/>
    <w:rsid w:val="00F243C8"/>
    <w:rsid w:val="00F24E11"/>
    <w:rsid w:val="00F26D6A"/>
    <w:rsid w:val="00F304A9"/>
    <w:rsid w:val="00F30C1A"/>
    <w:rsid w:val="00F3139D"/>
    <w:rsid w:val="00F33377"/>
    <w:rsid w:val="00F33F84"/>
    <w:rsid w:val="00F3568E"/>
    <w:rsid w:val="00F35A11"/>
    <w:rsid w:val="00F400ED"/>
    <w:rsid w:val="00F420CC"/>
    <w:rsid w:val="00F43840"/>
    <w:rsid w:val="00F43BBA"/>
    <w:rsid w:val="00F44E10"/>
    <w:rsid w:val="00F46253"/>
    <w:rsid w:val="00F464A2"/>
    <w:rsid w:val="00F472D8"/>
    <w:rsid w:val="00F50479"/>
    <w:rsid w:val="00F507CD"/>
    <w:rsid w:val="00F52083"/>
    <w:rsid w:val="00F52525"/>
    <w:rsid w:val="00F53C91"/>
    <w:rsid w:val="00F56191"/>
    <w:rsid w:val="00F6000A"/>
    <w:rsid w:val="00F64BB0"/>
    <w:rsid w:val="00F709AA"/>
    <w:rsid w:val="00F72CCB"/>
    <w:rsid w:val="00F73A79"/>
    <w:rsid w:val="00F75244"/>
    <w:rsid w:val="00F801B9"/>
    <w:rsid w:val="00F813F1"/>
    <w:rsid w:val="00F8304C"/>
    <w:rsid w:val="00F85A8C"/>
    <w:rsid w:val="00F903F4"/>
    <w:rsid w:val="00F90FCC"/>
    <w:rsid w:val="00F914E1"/>
    <w:rsid w:val="00F915F1"/>
    <w:rsid w:val="00F91721"/>
    <w:rsid w:val="00F920ED"/>
    <w:rsid w:val="00F95601"/>
    <w:rsid w:val="00FA07E3"/>
    <w:rsid w:val="00FA16CB"/>
    <w:rsid w:val="00FA5879"/>
    <w:rsid w:val="00FA5A0A"/>
    <w:rsid w:val="00FA5CFA"/>
    <w:rsid w:val="00FA78CC"/>
    <w:rsid w:val="00FB04D2"/>
    <w:rsid w:val="00FC56DF"/>
    <w:rsid w:val="00FC5E7E"/>
    <w:rsid w:val="00FC65FB"/>
    <w:rsid w:val="00FD0B60"/>
    <w:rsid w:val="00FD2335"/>
    <w:rsid w:val="00FD29BA"/>
    <w:rsid w:val="00FD2AED"/>
    <w:rsid w:val="00FD2F78"/>
    <w:rsid w:val="00FD739B"/>
    <w:rsid w:val="00FE0E36"/>
    <w:rsid w:val="00FE268E"/>
    <w:rsid w:val="00FE2790"/>
    <w:rsid w:val="00FE30E4"/>
    <w:rsid w:val="00FE4E82"/>
    <w:rsid w:val="00FE639A"/>
    <w:rsid w:val="00FE6EA5"/>
    <w:rsid w:val="00FE76EB"/>
    <w:rsid w:val="00FE7BE9"/>
    <w:rsid w:val="00FF344D"/>
    <w:rsid w:val="00FF39E5"/>
    <w:rsid w:val="00FF3C6E"/>
    <w:rsid w:val="00FF3F8D"/>
    <w:rsid w:val="00FF401B"/>
    <w:rsid w:val="00FF463F"/>
    <w:rsid w:val="00FF54FF"/>
    <w:rsid w:val="00FF7F98"/>
    <w:rsid w:val="01417ED0"/>
    <w:rsid w:val="016531D1"/>
    <w:rsid w:val="01835DA0"/>
    <w:rsid w:val="0279651D"/>
    <w:rsid w:val="03E4477D"/>
    <w:rsid w:val="044955F3"/>
    <w:rsid w:val="048917FD"/>
    <w:rsid w:val="04967ABA"/>
    <w:rsid w:val="05F5764D"/>
    <w:rsid w:val="06124B79"/>
    <w:rsid w:val="06A9672F"/>
    <w:rsid w:val="074958E1"/>
    <w:rsid w:val="0893364B"/>
    <w:rsid w:val="0A1057D9"/>
    <w:rsid w:val="0B4B5358"/>
    <w:rsid w:val="0BE91440"/>
    <w:rsid w:val="0CF96354"/>
    <w:rsid w:val="0DDB6F15"/>
    <w:rsid w:val="0EFB5D5C"/>
    <w:rsid w:val="0EFB7655"/>
    <w:rsid w:val="100B7158"/>
    <w:rsid w:val="11611C99"/>
    <w:rsid w:val="11813A85"/>
    <w:rsid w:val="123864AA"/>
    <w:rsid w:val="128F1ACE"/>
    <w:rsid w:val="12A56C4A"/>
    <w:rsid w:val="13E2392A"/>
    <w:rsid w:val="147B275D"/>
    <w:rsid w:val="15186782"/>
    <w:rsid w:val="151A70C1"/>
    <w:rsid w:val="15CA4090"/>
    <w:rsid w:val="160356FD"/>
    <w:rsid w:val="16D2413C"/>
    <w:rsid w:val="17464523"/>
    <w:rsid w:val="17C85749"/>
    <w:rsid w:val="185760F5"/>
    <w:rsid w:val="18CF051E"/>
    <w:rsid w:val="1B2306C0"/>
    <w:rsid w:val="1CEB326A"/>
    <w:rsid w:val="1D1C3424"/>
    <w:rsid w:val="1D3F5CF8"/>
    <w:rsid w:val="1D701DC1"/>
    <w:rsid w:val="1EC36112"/>
    <w:rsid w:val="1F874D8A"/>
    <w:rsid w:val="202D7B3D"/>
    <w:rsid w:val="20636F5C"/>
    <w:rsid w:val="20C37B32"/>
    <w:rsid w:val="20E564C6"/>
    <w:rsid w:val="22313EDB"/>
    <w:rsid w:val="233153F2"/>
    <w:rsid w:val="235C3C2A"/>
    <w:rsid w:val="23AE6D9F"/>
    <w:rsid w:val="249809B4"/>
    <w:rsid w:val="25396B3D"/>
    <w:rsid w:val="25CA42BF"/>
    <w:rsid w:val="266E396B"/>
    <w:rsid w:val="26D63657"/>
    <w:rsid w:val="27323D42"/>
    <w:rsid w:val="27553ED9"/>
    <w:rsid w:val="27894AB1"/>
    <w:rsid w:val="283C4823"/>
    <w:rsid w:val="299B71A6"/>
    <w:rsid w:val="2A8A43CE"/>
    <w:rsid w:val="2AF578DD"/>
    <w:rsid w:val="2AFB0177"/>
    <w:rsid w:val="2B7254AB"/>
    <w:rsid w:val="2B764B71"/>
    <w:rsid w:val="2B774A68"/>
    <w:rsid w:val="2D88708D"/>
    <w:rsid w:val="2E223301"/>
    <w:rsid w:val="2E7F2611"/>
    <w:rsid w:val="300C2401"/>
    <w:rsid w:val="30483A67"/>
    <w:rsid w:val="30FE468C"/>
    <w:rsid w:val="328E14B9"/>
    <w:rsid w:val="32A827E6"/>
    <w:rsid w:val="33590A0D"/>
    <w:rsid w:val="34120C85"/>
    <w:rsid w:val="346662ED"/>
    <w:rsid w:val="353A49DA"/>
    <w:rsid w:val="35CB426E"/>
    <w:rsid w:val="37341FF5"/>
    <w:rsid w:val="380145D2"/>
    <w:rsid w:val="390C4A22"/>
    <w:rsid w:val="39790D27"/>
    <w:rsid w:val="3A9E1150"/>
    <w:rsid w:val="3AB16C65"/>
    <w:rsid w:val="3AD638B2"/>
    <w:rsid w:val="3B1D25F2"/>
    <w:rsid w:val="3B2344B0"/>
    <w:rsid w:val="3B3A65D0"/>
    <w:rsid w:val="3E661310"/>
    <w:rsid w:val="3F173D55"/>
    <w:rsid w:val="3FDD483D"/>
    <w:rsid w:val="40017D8D"/>
    <w:rsid w:val="40245CF7"/>
    <w:rsid w:val="406E135E"/>
    <w:rsid w:val="41063188"/>
    <w:rsid w:val="436B0FC0"/>
    <w:rsid w:val="44187FD3"/>
    <w:rsid w:val="444431A2"/>
    <w:rsid w:val="446E75ED"/>
    <w:rsid w:val="448D5BA7"/>
    <w:rsid w:val="44C91833"/>
    <w:rsid w:val="46AE3793"/>
    <w:rsid w:val="46DE2D44"/>
    <w:rsid w:val="47AF4D11"/>
    <w:rsid w:val="4812647D"/>
    <w:rsid w:val="484043D7"/>
    <w:rsid w:val="492D2D74"/>
    <w:rsid w:val="499524F4"/>
    <w:rsid w:val="49E54901"/>
    <w:rsid w:val="4A8B485A"/>
    <w:rsid w:val="4A8C1339"/>
    <w:rsid w:val="4B023AE9"/>
    <w:rsid w:val="4B2A6BA7"/>
    <w:rsid w:val="4B876EDE"/>
    <w:rsid w:val="4B9D527A"/>
    <w:rsid w:val="4D5A5D50"/>
    <w:rsid w:val="4DA23BF2"/>
    <w:rsid w:val="4DB200A1"/>
    <w:rsid w:val="4ECE1A55"/>
    <w:rsid w:val="4F20279B"/>
    <w:rsid w:val="4F6208BA"/>
    <w:rsid w:val="50DB264F"/>
    <w:rsid w:val="53D05DA1"/>
    <w:rsid w:val="54541B79"/>
    <w:rsid w:val="54656664"/>
    <w:rsid w:val="5519408A"/>
    <w:rsid w:val="55BD3B21"/>
    <w:rsid w:val="56A5140B"/>
    <w:rsid w:val="57A215DE"/>
    <w:rsid w:val="584B26F4"/>
    <w:rsid w:val="589635DD"/>
    <w:rsid w:val="5B494DFB"/>
    <w:rsid w:val="5B734C0E"/>
    <w:rsid w:val="5C916F6A"/>
    <w:rsid w:val="5D111766"/>
    <w:rsid w:val="5FCB6071"/>
    <w:rsid w:val="626E1D1B"/>
    <w:rsid w:val="62DB0C58"/>
    <w:rsid w:val="62DE7DE4"/>
    <w:rsid w:val="64084829"/>
    <w:rsid w:val="6433241B"/>
    <w:rsid w:val="646B48B3"/>
    <w:rsid w:val="64763864"/>
    <w:rsid w:val="654F3237"/>
    <w:rsid w:val="65965302"/>
    <w:rsid w:val="67565A36"/>
    <w:rsid w:val="68B37E59"/>
    <w:rsid w:val="68B96DFC"/>
    <w:rsid w:val="6A236CE5"/>
    <w:rsid w:val="6AAA5691"/>
    <w:rsid w:val="6AEF557A"/>
    <w:rsid w:val="6C39522C"/>
    <w:rsid w:val="6C49742E"/>
    <w:rsid w:val="6D404425"/>
    <w:rsid w:val="71131642"/>
    <w:rsid w:val="716606CE"/>
    <w:rsid w:val="71E02129"/>
    <w:rsid w:val="72A5645A"/>
    <w:rsid w:val="72B648F6"/>
    <w:rsid w:val="733A4A92"/>
    <w:rsid w:val="740C0E97"/>
    <w:rsid w:val="75EC48B2"/>
    <w:rsid w:val="76504BF6"/>
    <w:rsid w:val="76E51A7C"/>
    <w:rsid w:val="77550B81"/>
    <w:rsid w:val="77812C28"/>
    <w:rsid w:val="79490272"/>
    <w:rsid w:val="7A4A17DE"/>
    <w:rsid w:val="7C257EEA"/>
    <w:rsid w:val="7DC964F0"/>
    <w:rsid w:val="7EB9286C"/>
    <w:rsid w:val="7FE368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1"/>
    <w:qFormat/>
    <w:uiPriority w:val="0"/>
    <w:pPr>
      <w:keepNext/>
      <w:autoSpaceDE w:val="0"/>
      <w:autoSpaceDN w:val="0"/>
      <w:adjustRightInd w:val="0"/>
      <w:jc w:val="center"/>
      <w:outlineLvl w:val="0"/>
    </w:pPr>
    <w:rPr>
      <w:rFonts w:ascii="宋体"/>
      <w:color w:val="000000"/>
      <w:sz w:val="28"/>
      <w:szCs w:val="20"/>
    </w:rPr>
  </w:style>
  <w:style w:type="paragraph" w:styleId="5">
    <w:name w:val="heading 2"/>
    <w:basedOn w:val="1"/>
    <w:next w:val="1"/>
    <w:link w:val="36"/>
    <w:qFormat/>
    <w:uiPriority w:val="0"/>
    <w:pPr>
      <w:keepNext/>
      <w:keepLines/>
      <w:spacing w:before="260" w:after="260" w:line="416" w:lineRule="auto"/>
      <w:outlineLvl w:val="1"/>
    </w:pPr>
    <w:rPr>
      <w:rFonts w:ascii="Arial" w:hAnsi="Arial"/>
      <w:b/>
      <w:bCs/>
      <w:sz w:val="32"/>
      <w:szCs w:val="32"/>
    </w:rPr>
  </w:style>
  <w:style w:type="paragraph" w:styleId="6">
    <w:name w:val="heading 3"/>
    <w:basedOn w:val="1"/>
    <w:next w:val="1"/>
    <w:link w:val="38"/>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39"/>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0"/>
    <w:pPr>
      <w:adjustRightInd w:val="0"/>
      <w:spacing w:line="360" w:lineRule="atLeast"/>
      <w:ind w:firstLine="720"/>
      <w:textAlignment w:val="baseline"/>
    </w:pPr>
    <w:rPr>
      <w:kern w:val="0"/>
      <w:sz w:val="24"/>
      <w:szCs w:val="24"/>
    </w:rPr>
  </w:style>
  <w:style w:type="paragraph" w:styleId="8">
    <w:name w:val="Normal Indent"/>
    <w:basedOn w:val="1"/>
    <w:qFormat/>
    <w:uiPriority w:val="0"/>
    <w:pPr>
      <w:ind w:firstLine="420" w:firstLineChars="200"/>
    </w:pPr>
  </w:style>
  <w:style w:type="paragraph" w:styleId="9">
    <w:name w:val="annotation text"/>
    <w:basedOn w:val="1"/>
    <w:link w:val="32"/>
    <w:unhideWhenUsed/>
    <w:qFormat/>
    <w:uiPriority w:val="99"/>
    <w:pPr>
      <w:jc w:val="left"/>
    </w:pPr>
  </w:style>
  <w:style w:type="paragraph" w:styleId="10">
    <w:name w:val="Body Text Indent"/>
    <w:basedOn w:val="1"/>
    <w:unhideWhenUsed/>
    <w:qFormat/>
    <w:uiPriority w:val="99"/>
    <w:pPr>
      <w:spacing w:after="120"/>
      <w:ind w:left="420" w:leftChars="200"/>
    </w:pPr>
  </w:style>
  <w:style w:type="paragraph" w:styleId="11">
    <w:name w:val="Block Text"/>
    <w:basedOn w:val="1"/>
    <w:qFormat/>
    <w:uiPriority w:val="0"/>
    <w:pPr>
      <w:widowControl/>
      <w:ind w:left="480" w:right="-341" w:firstLine="513"/>
    </w:pPr>
    <w:rPr>
      <w:kern w:val="0"/>
      <w:sz w:val="24"/>
      <w:szCs w:val="20"/>
    </w:rPr>
  </w:style>
  <w:style w:type="paragraph" w:styleId="12">
    <w:name w:val="toc 5"/>
    <w:basedOn w:val="1"/>
    <w:next w:val="1"/>
    <w:qFormat/>
    <w:uiPriority w:val="0"/>
    <w:pPr>
      <w:ind w:left="840"/>
      <w:jc w:val="left"/>
    </w:pPr>
    <w:rPr>
      <w:rFonts w:cs="Calibri"/>
      <w:sz w:val="18"/>
      <w:szCs w:val="18"/>
    </w:rPr>
  </w:style>
  <w:style w:type="paragraph" w:styleId="13">
    <w:name w:val="Plain Text"/>
    <w:basedOn w:val="1"/>
    <w:link w:val="35"/>
    <w:qFormat/>
    <w:uiPriority w:val="0"/>
    <w:rPr>
      <w:rFonts w:ascii="宋体" w:hAnsi="Courier New" w:eastAsiaTheme="minorEastAsia" w:cstheme="minorBidi"/>
    </w:rPr>
  </w:style>
  <w:style w:type="paragraph" w:styleId="14">
    <w:name w:val="Date"/>
    <w:basedOn w:val="1"/>
    <w:next w:val="1"/>
    <w:link w:val="27"/>
    <w:qFormat/>
    <w:uiPriority w:val="0"/>
    <w:rPr>
      <w:rFonts w:ascii="宋体" w:hAnsi="Courier New"/>
      <w:kern w:val="0"/>
      <w:sz w:val="32"/>
      <w:szCs w:val="20"/>
    </w:rPr>
  </w:style>
  <w:style w:type="paragraph" w:styleId="15">
    <w:name w:val="Balloon Text"/>
    <w:basedOn w:val="1"/>
    <w:link w:val="28"/>
    <w:semiHidden/>
    <w:unhideWhenUsed/>
    <w:qFormat/>
    <w:uiPriority w:val="99"/>
    <w:rPr>
      <w:sz w:val="18"/>
      <w:szCs w:val="18"/>
    </w:rPr>
  </w:style>
  <w:style w:type="paragraph" w:styleId="16">
    <w:name w:val="footer"/>
    <w:basedOn w:val="1"/>
    <w:link w:val="30"/>
    <w:unhideWhenUsed/>
    <w:qFormat/>
    <w:uiPriority w:val="99"/>
    <w:pPr>
      <w:tabs>
        <w:tab w:val="center" w:pos="4153"/>
        <w:tab w:val="right" w:pos="8306"/>
      </w:tabs>
      <w:snapToGrid w:val="0"/>
      <w:jc w:val="left"/>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annotation subject"/>
    <w:basedOn w:val="9"/>
    <w:next w:val="9"/>
    <w:link w:val="33"/>
    <w:semiHidden/>
    <w:unhideWhenUsed/>
    <w:qFormat/>
    <w:uiPriority w:val="99"/>
    <w:rPr>
      <w:b/>
      <w:bCs/>
    </w:rPr>
  </w:style>
  <w:style w:type="paragraph" w:styleId="19">
    <w:name w:val="Body Text First Indent"/>
    <w:basedOn w:val="2"/>
    <w:qFormat/>
    <w:uiPriority w:val="0"/>
    <w:pPr>
      <w:ind w:firstLine="420" w:firstLineChars="100"/>
    </w:pPr>
    <w:rPr>
      <w:rFonts w:eastAsia="微软雅黑"/>
    </w:rPr>
  </w:style>
  <w:style w:type="paragraph" w:styleId="20">
    <w:name w:val="Body Text First Indent 2"/>
    <w:basedOn w:val="10"/>
    <w:qFormat/>
    <w:uiPriority w:val="0"/>
    <w:pPr>
      <w:ind w:firstLine="420" w:firstLineChars="200"/>
    </w:pPr>
    <w:rPr>
      <w:szCs w:val="24"/>
    </w:rPr>
  </w:style>
  <w:style w:type="table" w:styleId="22">
    <w:name w:val="Table Grid"/>
    <w:basedOn w:val="2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4">
    <w:name w:val="Hyperlink"/>
    <w:qFormat/>
    <w:uiPriority w:val="99"/>
    <w:rPr>
      <w:color w:val="0000FF"/>
      <w:u w:val="single"/>
    </w:rPr>
  </w:style>
  <w:style w:type="character" w:styleId="25">
    <w:name w:val="annotation reference"/>
    <w:basedOn w:val="23"/>
    <w:semiHidden/>
    <w:unhideWhenUsed/>
    <w:qFormat/>
    <w:uiPriority w:val="99"/>
    <w:rPr>
      <w:sz w:val="21"/>
      <w:szCs w:val="21"/>
    </w:rPr>
  </w:style>
  <w:style w:type="character" w:customStyle="1" w:styleId="26">
    <w:name w:val="日期 Char"/>
    <w:basedOn w:val="23"/>
    <w:qFormat/>
    <w:uiPriority w:val="0"/>
    <w:rPr>
      <w:rFonts w:ascii="宋体" w:hAnsi="Courier New" w:eastAsia="宋体" w:cs="Times New Roman"/>
      <w:kern w:val="0"/>
      <w:sz w:val="32"/>
      <w:szCs w:val="20"/>
    </w:rPr>
  </w:style>
  <w:style w:type="character" w:customStyle="1" w:styleId="27">
    <w:name w:val="日期 Char1"/>
    <w:basedOn w:val="23"/>
    <w:link w:val="14"/>
    <w:semiHidden/>
    <w:qFormat/>
    <w:uiPriority w:val="99"/>
    <w:rPr>
      <w:rFonts w:ascii="Calibri" w:hAnsi="Calibri" w:eastAsia="宋体" w:cs="Times New Roman"/>
    </w:rPr>
  </w:style>
  <w:style w:type="character" w:customStyle="1" w:styleId="28">
    <w:name w:val="批注框文本 Char"/>
    <w:basedOn w:val="23"/>
    <w:link w:val="15"/>
    <w:semiHidden/>
    <w:qFormat/>
    <w:uiPriority w:val="99"/>
    <w:rPr>
      <w:rFonts w:ascii="Calibri" w:hAnsi="Calibri" w:eastAsia="宋体" w:cs="Times New Roman"/>
      <w:sz w:val="18"/>
      <w:szCs w:val="18"/>
    </w:rPr>
  </w:style>
  <w:style w:type="character" w:customStyle="1" w:styleId="29">
    <w:name w:val="页眉 Char"/>
    <w:basedOn w:val="23"/>
    <w:link w:val="17"/>
    <w:qFormat/>
    <w:uiPriority w:val="99"/>
    <w:rPr>
      <w:rFonts w:ascii="Calibri" w:hAnsi="Calibri" w:eastAsia="宋体" w:cs="Times New Roman"/>
      <w:sz w:val="18"/>
      <w:szCs w:val="18"/>
    </w:rPr>
  </w:style>
  <w:style w:type="character" w:customStyle="1" w:styleId="30">
    <w:name w:val="页脚 Char"/>
    <w:basedOn w:val="23"/>
    <w:link w:val="16"/>
    <w:qFormat/>
    <w:uiPriority w:val="99"/>
    <w:rPr>
      <w:rFonts w:ascii="Calibri" w:hAnsi="Calibri" w:eastAsia="宋体" w:cs="Times New Roman"/>
      <w:sz w:val="18"/>
      <w:szCs w:val="18"/>
    </w:rPr>
  </w:style>
  <w:style w:type="character" w:customStyle="1" w:styleId="31">
    <w:name w:val="标题 1 Char"/>
    <w:basedOn w:val="23"/>
    <w:link w:val="4"/>
    <w:qFormat/>
    <w:uiPriority w:val="0"/>
    <w:rPr>
      <w:rFonts w:ascii="宋体" w:hAnsi="Calibri" w:eastAsia="宋体" w:cs="Times New Roman"/>
      <w:color w:val="000000"/>
      <w:sz w:val="28"/>
      <w:szCs w:val="20"/>
    </w:rPr>
  </w:style>
  <w:style w:type="character" w:customStyle="1" w:styleId="32">
    <w:name w:val="批注文字 Char"/>
    <w:basedOn w:val="23"/>
    <w:link w:val="9"/>
    <w:qFormat/>
    <w:uiPriority w:val="99"/>
    <w:rPr>
      <w:rFonts w:ascii="Calibri" w:hAnsi="Calibri" w:eastAsia="宋体" w:cs="Times New Roman"/>
    </w:rPr>
  </w:style>
  <w:style w:type="character" w:customStyle="1" w:styleId="33">
    <w:name w:val="批注主题 Char"/>
    <w:basedOn w:val="32"/>
    <w:link w:val="18"/>
    <w:semiHidden/>
    <w:qFormat/>
    <w:uiPriority w:val="99"/>
    <w:rPr>
      <w:rFonts w:ascii="Calibri" w:hAnsi="Calibri" w:eastAsia="宋体" w:cs="Times New Roman"/>
      <w:b/>
      <w:bCs/>
    </w:rPr>
  </w:style>
  <w:style w:type="character" w:customStyle="1" w:styleId="34">
    <w:name w:val="纯文本 Char"/>
    <w:qFormat/>
    <w:uiPriority w:val="0"/>
    <w:rPr>
      <w:rFonts w:ascii="宋体" w:hAnsi="Courier New"/>
    </w:rPr>
  </w:style>
  <w:style w:type="character" w:customStyle="1" w:styleId="35">
    <w:name w:val="纯文本 Char1"/>
    <w:basedOn w:val="23"/>
    <w:link w:val="13"/>
    <w:semiHidden/>
    <w:qFormat/>
    <w:uiPriority w:val="99"/>
    <w:rPr>
      <w:rFonts w:ascii="宋体" w:hAnsi="Courier New" w:eastAsia="宋体" w:cs="Courier New"/>
      <w:szCs w:val="21"/>
    </w:rPr>
  </w:style>
  <w:style w:type="character" w:customStyle="1" w:styleId="36">
    <w:name w:val="标题 2 Char"/>
    <w:basedOn w:val="23"/>
    <w:link w:val="5"/>
    <w:qFormat/>
    <w:uiPriority w:val="0"/>
    <w:rPr>
      <w:rFonts w:ascii="Arial" w:hAnsi="Arial" w:eastAsia="宋体" w:cs="Times New Roman"/>
      <w:b/>
      <w:bCs/>
      <w:sz w:val="32"/>
      <w:szCs w:val="32"/>
    </w:rPr>
  </w:style>
  <w:style w:type="paragraph" w:styleId="37">
    <w:name w:val="List Paragraph"/>
    <w:basedOn w:val="1"/>
    <w:qFormat/>
    <w:uiPriority w:val="34"/>
    <w:pPr>
      <w:ind w:firstLine="420" w:firstLineChars="200"/>
    </w:pPr>
  </w:style>
  <w:style w:type="character" w:customStyle="1" w:styleId="38">
    <w:name w:val="标题 3 Char"/>
    <w:basedOn w:val="23"/>
    <w:link w:val="6"/>
    <w:semiHidden/>
    <w:qFormat/>
    <w:uiPriority w:val="9"/>
    <w:rPr>
      <w:rFonts w:ascii="Calibri" w:hAnsi="Calibri" w:eastAsia="宋体" w:cs="Times New Roman"/>
      <w:b/>
      <w:bCs/>
      <w:sz w:val="32"/>
      <w:szCs w:val="32"/>
    </w:rPr>
  </w:style>
  <w:style w:type="character" w:customStyle="1" w:styleId="39">
    <w:name w:val="标题 4 Char"/>
    <w:basedOn w:val="23"/>
    <w:link w:val="7"/>
    <w:qFormat/>
    <w:uiPriority w:val="0"/>
    <w:rPr>
      <w:rFonts w:ascii="Cambria" w:hAnsi="Cambria" w:eastAsia="宋体" w:cs="Times New Roman"/>
      <w:b/>
      <w:bCs/>
      <w:sz w:val="28"/>
      <w:szCs w:val="28"/>
    </w:rPr>
  </w:style>
  <w:style w:type="paragraph" w:customStyle="1" w:styleId="40">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1">
    <w:name w:val="1"/>
    <w:basedOn w:val="1"/>
    <w:next w:val="13"/>
    <w:qFormat/>
    <w:uiPriority w:val="0"/>
    <w:rPr>
      <w:rFonts w:ascii="宋体" w:hAnsi="Courier New"/>
      <w:szCs w:val="20"/>
    </w:rPr>
  </w:style>
  <w:style w:type="paragraph" w:customStyle="1" w:styleId="42">
    <w:name w:val="8"/>
    <w:basedOn w:val="1"/>
    <w:next w:val="13"/>
    <w:qFormat/>
    <w:uiPriority w:val="0"/>
    <w:rPr>
      <w:rFonts w:ascii="宋体" w:hAnsi="Courier New"/>
      <w:szCs w:val="20"/>
    </w:rPr>
  </w:style>
  <w:style w:type="paragraph" w:customStyle="1" w:styleId="43">
    <w:name w:val="_Style 55"/>
    <w:basedOn w:val="1"/>
    <w:next w:val="13"/>
    <w:qFormat/>
    <w:uiPriority w:val="0"/>
    <w:rPr>
      <w:rFonts w:ascii="宋体" w:hAnsi="Courier New"/>
      <w:szCs w:val="20"/>
    </w:rPr>
  </w:style>
  <w:style w:type="paragraph" w:customStyle="1" w:styleId="44">
    <w:name w:val="7"/>
    <w:basedOn w:val="1"/>
    <w:next w:val="13"/>
    <w:link w:val="45"/>
    <w:qFormat/>
    <w:uiPriority w:val="0"/>
    <w:rPr>
      <w:rFonts w:ascii="宋体" w:hAnsi="Courier New"/>
      <w:szCs w:val="20"/>
    </w:rPr>
  </w:style>
  <w:style w:type="character" w:customStyle="1" w:styleId="45">
    <w:name w:val="Char1"/>
    <w:link w:val="44"/>
    <w:qFormat/>
    <w:uiPriority w:val="0"/>
    <w:rPr>
      <w:rFonts w:ascii="宋体" w:hAnsi="Courier New" w:eastAsia="宋体" w:cs="Times New Roman"/>
      <w:szCs w:val="20"/>
    </w:rPr>
  </w:style>
  <w:style w:type="paragraph" w:customStyle="1" w:styleId="46">
    <w:name w:val="列出段落1"/>
    <w:basedOn w:val="1"/>
    <w:qFormat/>
    <w:uiPriority w:val="0"/>
    <w:pPr>
      <w:ind w:firstLine="420" w:firstLineChars="200"/>
    </w:pPr>
    <w:rPr>
      <w:rFonts w:cs="Calibri"/>
      <w:szCs w:val="21"/>
    </w:rPr>
  </w:style>
  <w:style w:type="paragraph" w:customStyle="1" w:styleId="47">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48">
    <w:name w:val="修订1"/>
    <w:hidden/>
    <w:unhideWhenUsed/>
    <w:qFormat/>
    <w:uiPriority w:val="99"/>
    <w:rPr>
      <w:rFonts w:ascii="Calibri" w:hAnsi="Calibri" w:eastAsia="宋体" w:cs="Times New Roman"/>
      <w:kern w:val="2"/>
      <w:sz w:val="21"/>
      <w:szCs w:val="22"/>
      <w:lang w:val="en-US" w:eastAsia="zh-CN" w:bidi="ar-SA"/>
    </w:rPr>
  </w:style>
  <w:style w:type="paragraph" w:customStyle="1" w:styleId="49">
    <w:name w:val="样式1"/>
    <w:basedOn w:val="1"/>
    <w:qFormat/>
    <w:uiPriority w:val="0"/>
    <w:pPr>
      <w:spacing w:line="360" w:lineRule="auto"/>
      <w:ind w:firstLine="200" w:firstLineChars="200"/>
    </w:pPr>
    <w:rPr>
      <w:sz w:val="28"/>
    </w:rPr>
  </w:style>
  <w:style w:type="paragraph" w:customStyle="1" w:styleId="50">
    <w:name w:val="修订2"/>
    <w:hidden/>
    <w:unhideWhenUsed/>
    <w:qFormat/>
    <w:uiPriority w:val="99"/>
    <w:rPr>
      <w:rFonts w:ascii="Calibri" w:hAnsi="Calibri" w:eastAsia="宋体" w:cs="Times New Roman"/>
      <w:kern w:val="2"/>
      <w:sz w:val="21"/>
      <w:szCs w:val="22"/>
      <w:lang w:val="en-US" w:eastAsia="zh-CN" w:bidi="ar-SA"/>
    </w:rPr>
  </w:style>
  <w:style w:type="character" w:customStyle="1" w:styleId="51">
    <w:name w:val="font41"/>
    <w:basedOn w:val="23"/>
    <w:qFormat/>
    <w:uiPriority w:val="0"/>
    <w:rPr>
      <w:rFonts w:ascii="微软雅黑" w:hAnsi="微软雅黑" w:eastAsia="微软雅黑" w:cs="微软雅黑"/>
      <w:b/>
      <w:bCs/>
      <w:color w:val="000000"/>
      <w:sz w:val="24"/>
      <w:szCs w:val="24"/>
      <w:u w:val="none"/>
    </w:rPr>
  </w:style>
  <w:style w:type="character" w:customStyle="1" w:styleId="52">
    <w:name w:val="font11"/>
    <w:basedOn w:val="23"/>
    <w:qFormat/>
    <w:uiPriority w:val="0"/>
    <w:rPr>
      <w:rFonts w:hint="eastAsia" w:ascii="宋体" w:hAnsi="宋体" w:eastAsia="宋体" w:cs="宋体"/>
      <w:b/>
      <w:bCs/>
      <w:color w:val="000000"/>
      <w:sz w:val="24"/>
      <w:szCs w:val="24"/>
      <w:u w:val="none"/>
    </w:rPr>
  </w:style>
  <w:style w:type="character" w:customStyle="1" w:styleId="53">
    <w:name w:val="font51"/>
    <w:basedOn w:val="23"/>
    <w:qFormat/>
    <w:uiPriority w:val="0"/>
    <w:rPr>
      <w:rFonts w:ascii="宋体" w:hAnsi="宋体" w:eastAsia="宋体" w:cs="宋体"/>
      <w:b/>
      <w:bCs/>
      <w:color w:val="000000"/>
      <w:sz w:val="24"/>
      <w:szCs w:val="24"/>
      <w:u w:val="none"/>
    </w:rPr>
  </w:style>
  <w:style w:type="paragraph" w:customStyle="1" w:styleId="5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0B9817-AC72-4C4C-8787-8D02A4B277A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74</Pages>
  <Words>34906</Words>
  <Characters>36610</Characters>
  <Lines>285</Lines>
  <Paragraphs>80</Paragraphs>
  <TotalTime>10</TotalTime>
  <ScaleCrop>false</ScaleCrop>
  <LinksUpToDate>false</LinksUpToDate>
  <CharactersWithSpaces>38579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2024-08-06T09:16:00Z</dcterms:created>
  <dc:creator>User</dc:creator>
  <cp:lastModifiedBy>中正招标-李工</cp:lastModifiedBy>
  <cp:lastPrinted>2024-07-17T06:04:00Z</cp:lastPrinted>
  <dcterms:modified xsi:type="dcterms:W3CDTF">2024-09-10T09:58:53Z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31C70102D37E48C09E74376DB041A783_13</vt:lpwstr>
  </property>
</Properties>
</file>